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黑体" w:eastAsia="黑体" w:cs="黑体"/>
          <w:kern w:val="0"/>
          <w:sz w:val="32"/>
          <w:szCs w:val="32"/>
        </w:rPr>
      </w:pPr>
      <w:r>
        <w:rPr>
          <w:rFonts w:hint="eastAsia" w:ascii="黑体" w:hAnsi="黑体" w:eastAsia="黑体" w:cs="黑体"/>
          <w:kern w:val="0"/>
          <w:sz w:val="32"/>
          <w:szCs w:val="32"/>
        </w:rPr>
        <w:t>湖南省高职院校</w:t>
      </w:r>
      <w:r>
        <w:rPr>
          <w:rFonts w:hint="eastAsia" w:ascii="黑体" w:eastAsia="黑体" w:cs="黑体"/>
          <w:kern w:val="0"/>
          <w:sz w:val="32"/>
          <w:szCs w:val="32"/>
        </w:rPr>
        <w:t>学生</w:t>
      </w:r>
      <w:r>
        <w:rPr>
          <w:rFonts w:hint="eastAsia" w:ascii="黑体" w:eastAsia="黑体" w:cs="黑体"/>
          <w:kern w:val="0"/>
          <w:sz w:val="32"/>
          <w:szCs w:val="32"/>
          <w:lang w:val="en-US" w:eastAsia="zh-CN"/>
        </w:rPr>
        <w:t>审计</w:t>
      </w:r>
      <w:r>
        <w:rPr>
          <w:rFonts w:hint="eastAsia" w:ascii="黑体" w:eastAsia="黑体" w:cs="黑体"/>
          <w:kern w:val="0"/>
          <w:sz w:val="32"/>
          <w:szCs w:val="32"/>
        </w:rPr>
        <w:t>专业技能考核标准</w:t>
      </w:r>
    </w:p>
    <w:p>
      <w:pPr>
        <w:autoSpaceDE w:val="0"/>
        <w:autoSpaceDN w:val="0"/>
        <w:adjustRightInd w:val="0"/>
        <w:ind w:firstLine="560" w:firstLineChars="200"/>
        <w:jc w:val="left"/>
        <w:rPr>
          <w:rFonts w:ascii="黑体" w:eastAsia="黑体" w:cs="黑体"/>
          <w:kern w:val="0"/>
          <w:sz w:val="28"/>
          <w:szCs w:val="28"/>
        </w:rPr>
      </w:pPr>
      <w:r>
        <w:rPr>
          <w:rFonts w:hint="eastAsia" w:ascii="黑体" w:eastAsia="黑体" w:cs="黑体"/>
          <w:kern w:val="0"/>
          <w:sz w:val="28"/>
          <w:szCs w:val="28"/>
        </w:rPr>
        <w:t>一、专业名称及适用对象</w:t>
      </w:r>
    </w:p>
    <w:p>
      <w:pPr>
        <w:autoSpaceDE w:val="0"/>
        <w:autoSpaceDN w:val="0"/>
        <w:adjustRightInd w:val="0"/>
        <w:ind w:firstLine="560" w:firstLineChars="200"/>
        <w:jc w:val="left"/>
        <w:rPr>
          <w:rFonts w:ascii="仿宋_GB2312" w:eastAsia="仿宋_GB2312" w:cs="仿宋_GB2312"/>
          <w:kern w:val="0"/>
          <w:sz w:val="28"/>
          <w:szCs w:val="28"/>
        </w:rPr>
      </w:pPr>
      <w:r>
        <w:rPr>
          <w:rFonts w:ascii="TimesNewRomanPSMT" w:eastAsia="TimesNewRomanPSMT" w:cs="TimesNewRomanPSMT"/>
          <w:kern w:val="0"/>
          <w:sz w:val="28"/>
          <w:szCs w:val="28"/>
        </w:rPr>
        <w:t>1</w:t>
      </w:r>
      <w:r>
        <w:rPr>
          <w:rFonts w:hint="eastAsia" w:ascii="仿宋_GB2312" w:eastAsia="仿宋_GB2312" w:cs="仿宋_GB2312"/>
          <w:kern w:val="0"/>
          <w:sz w:val="28"/>
          <w:szCs w:val="28"/>
        </w:rPr>
        <w:t>．专业名称</w:t>
      </w:r>
    </w:p>
    <w:p>
      <w:pPr>
        <w:autoSpaceDE w:val="0"/>
        <w:autoSpaceDN w:val="0"/>
        <w:adjustRightInd w:val="0"/>
        <w:ind w:firstLine="560" w:firstLineChars="200"/>
        <w:jc w:val="left"/>
        <w:rPr>
          <w:rFonts w:hint="eastAsia" w:ascii="仿宋_GB2312" w:eastAsia="仿宋_GB2312" w:cs="仿宋_GB2312"/>
          <w:kern w:val="0"/>
          <w:sz w:val="28"/>
          <w:szCs w:val="28"/>
        </w:rPr>
      </w:pPr>
      <w:r>
        <w:rPr>
          <w:rFonts w:hint="eastAsia" w:ascii="仿宋_GB2312" w:eastAsia="仿宋_GB2312" w:cs="仿宋_GB2312"/>
          <w:kern w:val="0"/>
          <w:sz w:val="28"/>
          <w:szCs w:val="28"/>
        </w:rPr>
        <w:t>审计（630303）</w:t>
      </w:r>
    </w:p>
    <w:p>
      <w:pPr>
        <w:autoSpaceDE w:val="0"/>
        <w:autoSpaceDN w:val="0"/>
        <w:adjustRightInd w:val="0"/>
        <w:ind w:firstLine="560" w:firstLineChars="200"/>
        <w:jc w:val="left"/>
        <w:rPr>
          <w:rFonts w:ascii="仿宋_GB2312" w:eastAsia="仿宋_GB2312" w:cs="仿宋_GB2312"/>
          <w:kern w:val="0"/>
          <w:sz w:val="28"/>
          <w:szCs w:val="28"/>
        </w:rPr>
      </w:pPr>
      <w:r>
        <w:rPr>
          <w:rFonts w:ascii="TimesNewRomanPSMT" w:eastAsia="TimesNewRomanPSMT" w:cs="TimesNewRomanPSMT"/>
          <w:kern w:val="0"/>
          <w:sz w:val="28"/>
          <w:szCs w:val="28"/>
        </w:rPr>
        <w:t>2</w:t>
      </w:r>
      <w:r>
        <w:rPr>
          <w:rFonts w:hint="eastAsia" w:ascii="仿宋_GB2312" w:eastAsia="仿宋_GB2312" w:cs="仿宋_GB2312"/>
          <w:kern w:val="0"/>
          <w:sz w:val="28"/>
          <w:szCs w:val="28"/>
        </w:rPr>
        <w:t>．适用对象</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高职</w:t>
      </w:r>
      <w:r>
        <w:rPr>
          <w:rFonts w:hint="eastAsia" w:ascii="仿宋_GB2312" w:eastAsia="仿宋_GB2312" w:cs="仿宋_GB2312"/>
          <w:kern w:val="0"/>
          <w:sz w:val="28"/>
          <w:szCs w:val="28"/>
          <w:lang w:val="en-US" w:eastAsia="zh-CN"/>
        </w:rPr>
        <w:t>三年制</w:t>
      </w:r>
      <w:r>
        <w:rPr>
          <w:rFonts w:hint="eastAsia" w:ascii="仿宋_GB2312" w:eastAsia="仿宋_GB2312" w:cs="仿宋_GB2312"/>
          <w:kern w:val="0"/>
          <w:sz w:val="28"/>
          <w:szCs w:val="28"/>
        </w:rPr>
        <w:t>全日制在籍毕业</w:t>
      </w:r>
      <w:r>
        <w:rPr>
          <w:rFonts w:hint="eastAsia" w:ascii="仿宋_GB2312" w:eastAsia="仿宋_GB2312" w:cs="仿宋_GB2312"/>
          <w:kern w:val="0"/>
          <w:sz w:val="28"/>
          <w:szCs w:val="28"/>
          <w:lang w:val="en-US" w:eastAsia="zh-CN"/>
        </w:rPr>
        <w:t>三</w:t>
      </w:r>
      <w:r>
        <w:rPr>
          <w:rFonts w:hint="eastAsia" w:ascii="仿宋_GB2312" w:eastAsia="仿宋_GB2312" w:cs="仿宋_GB2312"/>
          <w:kern w:val="0"/>
          <w:sz w:val="28"/>
          <w:szCs w:val="28"/>
        </w:rPr>
        <w:t>年</w:t>
      </w:r>
      <w:r>
        <w:rPr>
          <w:rFonts w:hint="eastAsia" w:ascii="仿宋_GB2312" w:eastAsia="仿宋_GB2312" w:cs="仿宋_GB2312"/>
          <w:kern w:val="0"/>
          <w:sz w:val="28"/>
          <w:szCs w:val="28"/>
          <w:lang w:val="en-US" w:eastAsia="zh-CN"/>
        </w:rPr>
        <w:t>级</w:t>
      </w:r>
      <w:r>
        <w:rPr>
          <w:rFonts w:hint="eastAsia" w:ascii="仿宋_GB2312" w:eastAsia="仿宋_GB2312" w:cs="仿宋_GB2312"/>
          <w:kern w:val="0"/>
          <w:sz w:val="28"/>
          <w:szCs w:val="28"/>
        </w:rPr>
        <w:t>学生。</w:t>
      </w:r>
    </w:p>
    <w:p>
      <w:pPr>
        <w:autoSpaceDE w:val="0"/>
        <w:autoSpaceDN w:val="0"/>
        <w:adjustRightInd w:val="0"/>
        <w:ind w:firstLine="560" w:firstLineChars="200"/>
        <w:jc w:val="left"/>
        <w:rPr>
          <w:rFonts w:ascii="黑体" w:eastAsia="黑体" w:cs="黑体"/>
          <w:kern w:val="0"/>
          <w:sz w:val="28"/>
          <w:szCs w:val="28"/>
        </w:rPr>
      </w:pPr>
      <w:r>
        <w:rPr>
          <w:rFonts w:hint="eastAsia" w:ascii="黑体" w:eastAsia="黑体" w:cs="黑体"/>
          <w:kern w:val="0"/>
          <w:sz w:val="28"/>
          <w:szCs w:val="28"/>
        </w:rPr>
        <w:t>二、考核目标</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1.通过技能考核，旨在检查本专业学生运用</w:t>
      </w:r>
      <w:r>
        <w:rPr>
          <w:rFonts w:hint="eastAsia" w:ascii="仿宋_GB2312" w:eastAsia="仿宋_GB2312" w:cs="仿宋_GB2312"/>
          <w:kern w:val="0"/>
          <w:sz w:val="28"/>
          <w:szCs w:val="28"/>
          <w:lang w:val="en-US" w:eastAsia="zh-CN"/>
        </w:rPr>
        <w:t>审计方法和相关审计</w:t>
      </w:r>
      <w:r>
        <w:rPr>
          <w:rFonts w:hint="eastAsia" w:ascii="仿宋_GB2312" w:eastAsia="仿宋_GB2312" w:cs="仿宋_GB2312"/>
          <w:kern w:val="0"/>
          <w:sz w:val="28"/>
          <w:szCs w:val="28"/>
        </w:rPr>
        <w:t>操作工具（或软件），按照</w:t>
      </w:r>
      <w:r>
        <w:rPr>
          <w:rFonts w:hint="eastAsia" w:ascii="仿宋_GB2312" w:eastAsia="仿宋_GB2312" w:cs="仿宋_GB2312"/>
          <w:kern w:val="0"/>
          <w:sz w:val="28"/>
          <w:szCs w:val="28"/>
          <w:lang w:val="en-US" w:eastAsia="zh-CN"/>
        </w:rPr>
        <w:t>审计职业</w:t>
      </w:r>
      <w:r>
        <w:rPr>
          <w:rFonts w:hint="eastAsia" w:ascii="仿宋_GB2312" w:eastAsia="仿宋_GB2312" w:cs="仿宋_GB2312"/>
          <w:kern w:val="0"/>
          <w:sz w:val="28"/>
          <w:szCs w:val="28"/>
        </w:rPr>
        <w:t>规范和要求进行</w:t>
      </w:r>
      <w:r>
        <w:rPr>
          <w:rFonts w:hint="eastAsia" w:ascii="仿宋_GB2312" w:eastAsia="仿宋_GB2312" w:cs="仿宋_GB2312"/>
          <w:kern w:val="0"/>
          <w:sz w:val="28"/>
          <w:szCs w:val="28"/>
          <w:lang w:val="en-US" w:eastAsia="zh-CN"/>
        </w:rPr>
        <w:t>审计实务</w:t>
      </w:r>
      <w:r>
        <w:rPr>
          <w:rFonts w:hint="eastAsia" w:ascii="仿宋_GB2312" w:eastAsia="仿宋_GB2312" w:cs="仿宋_GB2312"/>
          <w:kern w:val="0"/>
          <w:sz w:val="28"/>
          <w:szCs w:val="28"/>
        </w:rPr>
        <w:t>操作的专业技能水平以及学生在实际操作过程中所表现出来的严谨、细致、认真、耐心的</w:t>
      </w:r>
      <w:r>
        <w:rPr>
          <w:rFonts w:hint="eastAsia" w:ascii="仿宋_GB2312" w:eastAsia="仿宋_GB2312" w:cs="仿宋_GB2312"/>
          <w:kern w:val="0"/>
          <w:sz w:val="28"/>
          <w:szCs w:val="28"/>
          <w:lang w:val="en-US" w:eastAsia="zh-CN"/>
        </w:rPr>
        <w:t>审</w:t>
      </w:r>
      <w:r>
        <w:rPr>
          <w:rFonts w:hint="eastAsia" w:ascii="仿宋_GB2312" w:eastAsia="仿宋_GB2312" w:cs="仿宋_GB2312"/>
          <w:kern w:val="0"/>
          <w:sz w:val="28"/>
          <w:szCs w:val="28"/>
        </w:rPr>
        <w:t>计职业素质，以</w:t>
      </w:r>
      <w:r>
        <w:rPr>
          <w:rFonts w:hint="eastAsia" w:ascii="Times New Roman" w:hAnsi="Times New Roman" w:eastAsia="仿宋_GB2312" w:cs="Times New Roman"/>
          <w:color w:val="000000" w:themeColor="text1"/>
          <w:sz w:val="28"/>
          <w14:textFill>
            <w14:solidFill>
              <w14:schemeClr w14:val="tx1"/>
            </w14:solidFill>
          </w14:textFill>
        </w:rPr>
        <w:t>检验各高职院校</w:t>
      </w:r>
      <w:r>
        <w:rPr>
          <w:rFonts w:hint="eastAsia" w:ascii="Times New Roman" w:hAnsi="Times New Roman" w:eastAsia="仿宋_GB2312" w:cs="Times New Roman"/>
          <w:color w:val="000000" w:themeColor="text1"/>
          <w:sz w:val="28"/>
          <w:lang w:val="en-US" w:eastAsia="zh-CN"/>
          <w14:textFill>
            <w14:solidFill>
              <w14:schemeClr w14:val="tx1"/>
            </w14:solidFill>
          </w14:textFill>
        </w:rPr>
        <w:t>审</w:t>
      </w:r>
      <w:r>
        <w:rPr>
          <w:rFonts w:hint="eastAsia" w:ascii="Times New Roman" w:hAnsi="Times New Roman" w:eastAsia="仿宋_GB2312" w:cs="Times New Roman"/>
          <w:color w:val="000000" w:themeColor="text1"/>
          <w:sz w:val="28"/>
          <w14:textFill>
            <w14:solidFill>
              <w14:schemeClr w14:val="tx1"/>
            </w14:solidFill>
          </w14:textFill>
        </w:rPr>
        <w:t>计专业学生所掌握的专业知识是否满足会计实际工作的需要</w:t>
      </w:r>
      <w:r>
        <w:rPr>
          <w:rFonts w:hint="eastAsia" w:ascii="仿宋_GB2312" w:eastAsia="仿宋_GB2312" w:cs="仿宋_GB2312"/>
          <w:kern w:val="0"/>
          <w:sz w:val="28"/>
          <w:szCs w:val="28"/>
        </w:rPr>
        <w:t>。</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2.引导高职院校加强教学基本条件建设，深化课程教学改革，强化实践教学环节，增强学生实践动手能力，提高专业教学质量，培养适应信息时代发展需要的</w:t>
      </w:r>
      <w:r>
        <w:rPr>
          <w:rFonts w:hint="eastAsia" w:ascii="仿宋_GB2312" w:eastAsia="仿宋_GB2312" w:cs="仿宋_GB2312"/>
          <w:kern w:val="0"/>
          <w:sz w:val="28"/>
          <w:szCs w:val="28"/>
          <w:lang w:val="en-US" w:eastAsia="zh-CN"/>
        </w:rPr>
        <w:t>审</w:t>
      </w:r>
      <w:r>
        <w:rPr>
          <w:rFonts w:hint="eastAsia" w:ascii="仿宋_GB2312" w:eastAsia="仿宋_GB2312" w:cs="仿宋_GB2312"/>
          <w:kern w:val="0"/>
          <w:sz w:val="28"/>
          <w:szCs w:val="28"/>
        </w:rPr>
        <w:t>计专业高素质技术技能人才。</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3.</w:t>
      </w:r>
      <w:r>
        <w:rPr>
          <w:rFonts w:hint="eastAsia" w:ascii="Times New Roman" w:hAnsi="Times New Roman" w:eastAsia="仿宋_GB2312" w:cs="Times New Roman"/>
          <w:color w:val="000000" w:themeColor="text1"/>
          <w:sz w:val="28"/>
          <w14:textFill>
            <w14:solidFill>
              <w14:schemeClr w14:val="tx1"/>
            </w14:solidFill>
          </w14:textFill>
        </w:rPr>
        <w:t>检验各高职院校</w:t>
      </w:r>
      <w:r>
        <w:rPr>
          <w:rFonts w:hint="eastAsia" w:ascii="Times New Roman" w:hAnsi="Times New Roman" w:eastAsia="仿宋_GB2312" w:cs="Times New Roman"/>
          <w:color w:val="000000" w:themeColor="text1"/>
          <w:sz w:val="28"/>
          <w:lang w:val="en-US" w:eastAsia="zh-CN"/>
          <w14:textFill>
            <w14:solidFill>
              <w14:schemeClr w14:val="tx1"/>
            </w14:solidFill>
          </w14:textFill>
        </w:rPr>
        <w:t>审</w:t>
      </w:r>
      <w:r>
        <w:rPr>
          <w:rFonts w:hint="eastAsia" w:ascii="Times New Roman" w:hAnsi="Times New Roman" w:eastAsia="仿宋_GB2312" w:cs="Times New Roman"/>
          <w:color w:val="000000" w:themeColor="text1"/>
          <w:sz w:val="28"/>
          <w14:textFill>
            <w14:solidFill>
              <w14:schemeClr w14:val="tx1"/>
            </w14:solidFill>
          </w14:textFill>
        </w:rPr>
        <w:t>计专业人才培养方案定位是否精准及教学质量是否合格，以更好的促进和提高各高职院校的</w:t>
      </w:r>
      <w:r>
        <w:rPr>
          <w:rFonts w:hint="eastAsia" w:ascii="Times New Roman" w:hAnsi="Times New Roman" w:eastAsia="仿宋_GB2312" w:cs="Times New Roman"/>
          <w:color w:val="000000" w:themeColor="text1"/>
          <w:sz w:val="28"/>
          <w:lang w:val="en-US" w:eastAsia="zh-CN"/>
          <w14:textFill>
            <w14:solidFill>
              <w14:schemeClr w14:val="tx1"/>
            </w14:solidFill>
          </w14:textFill>
        </w:rPr>
        <w:t>审</w:t>
      </w:r>
      <w:r>
        <w:rPr>
          <w:rFonts w:hint="eastAsia" w:ascii="Times New Roman" w:hAnsi="Times New Roman" w:eastAsia="仿宋_GB2312" w:cs="Times New Roman"/>
          <w:color w:val="000000" w:themeColor="text1"/>
          <w:sz w:val="28"/>
          <w14:textFill>
            <w14:solidFill>
              <w14:schemeClr w14:val="tx1"/>
            </w14:solidFill>
          </w14:textFill>
        </w:rPr>
        <w:t>计教学改革和</w:t>
      </w:r>
      <w:r>
        <w:rPr>
          <w:rFonts w:hint="eastAsia" w:ascii="Times New Roman" w:hAnsi="Times New Roman" w:eastAsia="仿宋_GB2312" w:cs="Times New Roman"/>
          <w:color w:val="000000" w:themeColor="text1"/>
          <w:sz w:val="28"/>
          <w:lang w:val="en-US" w:eastAsia="zh-CN"/>
          <w14:textFill>
            <w14:solidFill>
              <w14:schemeClr w14:val="tx1"/>
            </w14:solidFill>
          </w14:textFill>
        </w:rPr>
        <w:t>审</w:t>
      </w:r>
      <w:r>
        <w:rPr>
          <w:rFonts w:hint="eastAsia" w:ascii="Times New Roman" w:hAnsi="Times New Roman" w:eastAsia="仿宋_GB2312" w:cs="Times New Roman"/>
          <w:color w:val="000000" w:themeColor="text1"/>
          <w:sz w:val="28"/>
          <w14:textFill>
            <w14:solidFill>
              <w14:schemeClr w14:val="tx1"/>
            </w14:solidFill>
          </w14:textFill>
        </w:rPr>
        <w:t>计人才培养质量。</w:t>
      </w:r>
    </w:p>
    <w:p>
      <w:pPr>
        <w:autoSpaceDE w:val="0"/>
        <w:autoSpaceDN w:val="0"/>
        <w:adjustRightInd w:val="0"/>
        <w:ind w:firstLine="560" w:firstLineChars="200"/>
        <w:jc w:val="left"/>
        <w:rPr>
          <w:rFonts w:ascii="黑体" w:eastAsia="黑体" w:cs="黑体"/>
          <w:kern w:val="0"/>
          <w:sz w:val="28"/>
          <w:szCs w:val="28"/>
        </w:rPr>
      </w:pPr>
      <w:r>
        <w:rPr>
          <w:rFonts w:hint="eastAsia" w:ascii="黑体" w:eastAsia="黑体" w:cs="黑体"/>
          <w:kern w:val="0"/>
          <w:sz w:val="28"/>
          <w:szCs w:val="28"/>
        </w:rPr>
        <w:t>三、考核内容</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根据高职高专</w:t>
      </w:r>
      <w:r>
        <w:rPr>
          <w:rFonts w:hint="eastAsia" w:ascii="仿宋_GB2312" w:eastAsia="仿宋_GB2312" w:cs="仿宋_GB2312"/>
          <w:kern w:val="0"/>
          <w:sz w:val="28"/>
          <w:szCs w:val="28"/>
          <w:lang w:val="en-US" w:eastAsia="zh-CN"/>
        </w:rPr>
        <w:t>审</w:t>
      </w:r>
      <w:r>
        <w:rPr>
          <w:rFonts w:hint="eastAsia" w:ascii="仿宋_GB2312" w:eastAsia="仿宋_GB2312" w:cs="仿宋_GB2312"/>
          <w:kern w:val="0"/>
          <w:sz w:val="28"/>
          <w:szCs w:val="28"/>
        </w:rPr>
        <w:t>计专业的人才培养目标和</w:t>
      </w:r>
      <w:r>
        <w:rPr>
          <w:rFonts w:hint="eastAsia" w:ascii="仿宋_GB2312" w:eastAsia="仿宋_GB2312" w:cs="仿宋_GB2312"/>
          <w:kern w:val="0"/>
          <w:sz w:val="28"/>
          <w:szCs w:val="28"/>
          <w:lang w:val="en-US" w:eastAsia="zh-CN"/>
        </w:rPr>
        <w:t>审</w:t>
      </w:r>
      <w:r>
        <w:rPr>
          <w:rFonts w:hint="eastAsia" w:ascii="仿宋_GB2312" w:eastAsia="仿宋_GB2312" w:cs="仿宋_GB2312"/>
          <w:kern w:val="0"/>
          <w:sz w:val="28"/>
          <w:szCs w:val="28"/>
        </w:rPr>
        <w:t>计实际工作内容，本专业技能考核分专业基本技能模块、岗位核心技能模块和岗位拓展技能模块。其主要内容如下：</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模块一：专业基本技能</w:t>
      </w:r>
    </w:p>
    <w:p>
      <w:pPr>
        <w:autoSpaceDE w:val="0"/>
        <w:autoSpaceDN w:val="0"/>
        <w:adjustRightInd w:val="0"/>
        <w:ind w:firstLine="560" w:firstLineChars="200"/>
        <w:jc w:val="left"/>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1.职业基本素养</w:t>
      </w:r>
    </w:p>
    <w:p>
      <w:pPr>
        <w:autoSpaceDE w:val="0"/>
        <w:autoSpaceDN w:val="0"/>
        <w:adjustRightInd w:val="0"/>
        <w:ind w:firstLine="560" w:firstLineChars="200"/>
        <w:jc w:val="left"/>
        <w:rPr>
          <w:rFonts w:ascii="Times New Roman" w:hAnsi="Times New Roman" w:eastAsia="仿宋_GB2312" w:cs="Times New Roman"/>
          <w:color w:val="000000" w:themeColor="text1"/>
          <w:sz w:val="28"/>
          <w14:textFill>
            <w14:solidFill>
              <w14:schemeClr w14:val="tx1"/>
            </w14:solidFill>
          </w14:textFill>
        </w:rPr>
      </w:pPr>
      <w:r>
        <w:rPr>
          <w:rFonts w:hint="eastAsia" w:ascii="仿宋_GB2312" w:eastAsia="仿宋_GB2312" w:cs="仿宋_GB2312"/>
          <w:kern w:val="0"/>
          <w:sz w:val="28"/>
          <w:szCs w:val="28"/>
        </w:rPr>
        <w:t>基本要求：</w:t>
      </w:r>
      <w:r>
        <w:rPr>
          <w:rFonts w:ascii="Times New Roman" w:hAnsi="Times New Roman" w:eastAsia="仿宋_GB2312" w:cs="Times New Roman"/>
          <w:color w:val="000000" w:themeColor="text1"/>
          <w:sz w:val="28"/>
          <w14:textFill>
            <w14:solidFill>
              <w14:schemeClr w14:val="tx1"/>
            </w14:solidFill>
          </w14:textFill>
        </w:rPr>
        <w:t>具备严谨、细致、认真、耐心的</w:t>
      </w:r>
      <w:r>
        <w:rPr>
          <w:rFonts w:hint="eastAsia" w:ascii="Times New Roman" w:hAnsi="Times New Roman" w:eastAsia="仿宋_GB2312" w:cs="Times New Roman"/>
          <w:color w:val="000000" w:themeColor="text1"/>
          <w:sz w:val="28"/>
          <w:lang w:val="en-US" w:eastAsia="zh-CN"/>
          <w14:textFill>
            <w14:solidFill>
              <w14:schemeClr w14:val="tx1"/>
            </w14:solidFill>
          </w14:textFill>
        </w:rPr>
        <w:t>审</w:t>
      </w:r>
      <w:r>
        <w:rPr>
          <w:rFonts w:ascii="Times New Roman" w:hAnsi="Times New Roman" w:eastAsia="仿宋_GB2312" w:cs="Times New Roman"/>
          <w:color w:val="000000" w:themeColor="text1"/>
          <w:sz w:val="28"/>
          <w14:textFill>
            <w14:solidFill>
              <w14:schemeClr w14:val="tx1"/>
            </w14:solidFill>
          </w14:textFill>
        </w:rPr>
        <w:t>计工作基本素质</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根据</w:t>
      </w:r>
      <w:r>
        <w:rPr>
          <w:rFonts w:hint="eastAsia" w:ascii="Times New Roman" w:hAnsi="Times New Roman" w:eastAsia="仿宋_GB2312" w:cs="Times New Roman"/>
          <w:color w:val="000000" w:themeColor="text1"/>
          <w:sz w:val="28"/>
          <w14:textFill>
            <w14:solidFill>
              <w14:schemeClr w14:val="tx1"/>
            </w14:solidFill>
          </w14:textFill>
        </w:rPr>
        <w:t>给出的小案例，分析判断相关人员应该遵守或没有遵守</w:t>
      </w:r>
      <w:r>
        <w:rPr>
          <w:rFonts w:hint="eastAsia" w:ascii="Times New Roman" w:hAnsi="Times New Roman" w:eastAsia="仿宋_GB2312" w:cs="Times New Roman"/>
          <w:color w:val="000000" w:themeColor="text1"/>
          <w:sz w:val="28"/>
          <w:lang w:eastAsia="zh-CN"/>
          <w14:textFill>
            <w14:solidFill>
              <w14:schemeClr w14:val="tx1"/>
            </w14:solidFill>
          </w14:textFill>
        </w:rPr>
        <w:t>《</w:t>
      </w:r>
      <w:r>
        <w:rPr>
          <w:rFonts w:hint="eastAsia" w:ascii="Times New Roman" w:hAnsi="Times New Roman" w:eastAsia="仿宋_GB2312" w:cs="Times New Roman"/>
          <w:color w:val="000000" w:themeColor="text1"/>
          <w:sz w:val="28"/>
          <w:lang w:val="en-US" w:eastAsia="zh-CN"/>
          <w14:textFill>
            <w14:solidFill>
              <w14:schemeClr w14:val="tx1"/>
            </w14:solidFill>
          </w14:textFill>
        </w:rPr>
        <w:t>审计人员职业道德准则》</w:t>
      </w:r>
      <w:r>
        <w:rPr>
          <w:rFonts w:hint="eastAsia" w:ascii="Times New Roman" w:hAnsi="Times New Roman" w:eastAsia="仿宋_GB2312" w:cs="Times New Roman"/>
          <w:color w:val="000000" w:themeColor="text1"/>
          <w:sz w:val="28"/>
          <w14:textFill>
            <w14:solidFill>
              <w14:schemeClr w14:val="tx1"/>
            </w14:solidFill>
          </w14:textFill>
        </w:rPr>
        <w:t>，分析或判断可能造成的后果。以财政部颁布的《会</w:t>
      </w:r>
      <w:r>
        <w:rPr>
          <w:rFonts w:hint="eastAsia" w:ascii="Times New Roman" w:hAnsi="Times New Roman" w:eastAsia="仿宋_GB2312" w:cs="Times New Roman"/>
          <w:color w:val="000000" w:themeColor="text1"/>
          <w:sz w:val="28"/>
          <w:lang w:val="en-US" w:eastAsia="zh-CN"/>
          <w14:textFill>
            <w14:solidFill>
              <w14:schemeClr w14:val="tx1"/>
            </w14:solidFill>
          </w14:textFill>
        </w:rPr>
        <w:t>注册会计师职业道德</w:t>
      </w:r>
      <w:r>
        <w:rPr>
          <w:rFonts w:hint="eastAsia" w:ascii="Times New Roman" w:hAnsi="Times New Roman" w:eastAsia="仿宋_GB2312" w:cs="Times New Roman"/>
          <w:color w:val="000000" w:themeColor="text1"/>
          <w:sz w:val="28"/>
          <w14:textFill>
            <w14:solidFill>
              <w14:schemeClr w14:val="tx1"/>
            </w14:solidFill>
          </w14:textFill>
        </w:rPr>
        <w:t>》为技能考核点（客观题展示）</w:t>
      </w:r>
    </w:p>
    <w:p>
      <w:pPr>
        <w:autoSpaceDE w:val="0"/>
        <w:autoSpaceDN w:val="0"/>
        <w:adjustRightInd w:val="0"/>
        <w:ind w:firstLine="560" w:firstLineChars="200"/>
        <w:jc w:val="left"/>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2.</w:t>
      </w:r>
      <w:r>
        <w:rPr>
          <w:rFonts w:ascii="Times New Roman" w:hAnsi="Times New Roman" w:eastAsia="仿宋_GB2312" w:cs="Times New Roman"/>
          <w:bCs/>
          <w:color w:val="000000" w:themeColor="text1"/>
          <w:sz w:val="28"/>
          <w14:textFill>
            <w14:solidFill>
              <w14:schemeClr w14:val="tx1"/>
            </w14:solidFill>
          </w14:textFill>
        </w:rPr>
        <w:t>原始凭证的填制</w:t>
      </w:r>
      <w:r>
        <w:rPr>
          <w:rFonts w:hint="eastAsia" w:ascii="Times New Roman" w:hAnsi="Times New Roman" w:eastAsia="仿宋_GB2312" w:cs="Times New Roman"/>
          <w:bCs/>
          <w:color w:val="000000" w:themeColor="text1"/>
          <w:sz w:val="28"/>
          <w14:textFill>
            <w14:solidFill>
              <w14:schemeClr w14:val="tx1"/>
            </w14:solidFill>
          </w14:textFill>
        </w:rPr>
        <w:t>及银行存款余额表的编制</w:t>
      </w:r>
    </w:p>
    <w:p>
      <w:pPr>
        <w:autoSpaceDE w:val="0"/>
        <w:autoSpaceDN w:val="0"/>
        <w:adjustRightInd w:val="0"/>
        <w:ind w:firstLine="560" w:firstLineChars="200"/>
        <w:jc w:val="left"/>
        <w:rPr>
          <w:rFonts w:ascii="Times New Roman" w:hAnsi="Times New Roman" w:eastAsia="仿宋_GB2312" w:cs="Times New Roman"/>
          <w:color w:val="000000" w:themeColor="text1"/>
          <w:sz w:val="28"/>
          <w14:textFill>
            <w14:solidFill>
              <w14:schemeClr w14:val="tx1"/>
            </w14:solidFill>
          </w14:textFill>
        </w:rPr>
      </w:pPr>
      <w:r>
        <w:rPr>
          <w:rFonts w:hint="eastAsia" w:ascii="仿宋_GB2312" w:eastAsia="仿宋_GB2312" w:cs="仿宋_GB2312"/>
          <w:kern w:val="0"/>
          <w:sz w:val="28"/>
          <w:szCs w:val="28"/>
        </w:rPr>
        <w:t>基本要求：</w:t>
      </w:r>
      <w:r>
        <w:rPr>
          <w:rFonts w:ascii="Times New Roman" w:hAnsi="Times New Roman" w:eastAsia="仿宋_GB2312" w:cs="Times New Roman"/>
          <w:color w:val="000000" w:themeColor="text1"/>
          <w:sz w:val="28"/>
          <w14:textFill>
            <w14:solidFill>
              <w14:schemeClr w14:val="tx1"/>
            </w14:solidFill>
          </w14:textFill>
        </w:rPr>
        <w:t>以《中华人民共和国会计法》、《企业会计准则》及其《应用指南》和《会计基础工作规范》标准为依据</w:t>
      </w:r>
      <w:r>
        <w:rPr>
          <w:rFonts w:hint="eastAsia" w:ascii="Times New Roman" w:hAnsi="Times New Roman" w:eastAsia="仿宋_GB2312" w:cs="Times New Roman"/>
          <w:color w:val="000000" w:themeColor="text1"/>
          <w:sz w:val="28"/>
          <w14:textFill>
            <w14:solidFill>
              <w14:schemeClr w14:val="tx1"/>
            </w14:solidFill>
          </w14:textFill>
        </w:rPr>
        <w:t>，借助云上实训的平台，</w:t>
      </w:r>
      <w:r>
        <w:rPr>
          <w:rFonts w:ascii="Times New Roman" w:hAnsi="Times New Roman" w:eastAsia="仿宋_GB2312" w:cs="Times New Roman"/>
          <w:color w:val="000000" w:themeColor="text1"/>
          <w:sz w:val="28"/>
          <w14:textFill>
            <w14:solidFill>
              <w14:schemeClr w14:val="tx1"/>
            </w14:solidFill>
          </w14:textFill>
        </w:rPr>
        <w:t>正确、规范填制</w:t>
      </w:r>
      <w:r>
        <w:rPr>
          <w:rFonts w:hint="eastAsia" w:ascii="Times New Roman" w:hAnsi="Times New Roman" w:eastAsia="仿宋_GB2312" w:cs="Times New Roman"/>
          <w:color w:val="000000" w:themeColor="text1"/>
          <w:sz w:val="28"/>
          <w14:textFill>
            <w14:solidFill>
              <w14:schemeClr w14:val="tx1"/>
            </w14:solidFill>
          </w14:textFill>
        </w:rPr>
        <w:t>原始凭证</w:t>
      </w:r>
      <w:r>
        <w:rPr>
          <w:rFonts w:ascii="Times New Roman" w:hAnsi="Times New Roman" w:eastAsia="仿宋_GB2312" w:cs="Times New Roman"/>
          <w:color w:val="000000" w:themeColor="text1"/>
          <w:sz w:val="28"/>
          <w14:textFill>
            <w14:solidFill>
              <w14:schemeClr w14:val="tx1"/>
            </w14:solidFill>
          </w14:textFill>
        </w:rPr>
        <w:t>，审核</w:t>
      </w:r>
      <w:r>
        <w:rPr>
          <w:rFonts w:hint="eastAsia" w:ascii="Times New Roman" w:hAnsi="Times New Roman" w:eastAsia="仿宋_GB2312" w:cs="Times New Roman"/>
          <w:color w:val="000000" w:themeColor="text1"/>
          <w:sz w:val="28"/>
          <w14:textFill>
            <w14:solidFill>
              <w14:schemeClr w14:val="tx1"/>
            </w14:solidFill>
          </w14:textFill>
        </w:rPr>
        <w:t>原始凭证的</w:t>
      </w:r>
      <w:r>
        <w:rPr>
          <w:rFonts w:ascii="Times New Roman" w:hAnsi="Times New Roman" w:eastAsia="仿宋_GB2312" w:cs="Times New Roman"/>
          <w:color w:val="000000" w:themeColor="text1"/>
          <w:sz w:val="28"/>
          <w14:textFill>
            <w14:solidFill>
              <w14:schemeClr w14:val="tx1"/>
            </w14:solidFill>
          </w14:textFill>
        </w:rPr>
        <w:t>正确性和完整性，如：填制日期、编号、金额、附件、经办人的签名等。</w:t>
      </w:r>
    </w:p>
    <w:p>
      <w:pPr>
        <w:spacing w:line="510" w:lineRule="exact"/>
        <w:ind w:firstLine="554" w:firstLineChars="198"/>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1</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支票的填制</w:t>
      </w:r>
    </w:p>
    <w:p>
      <w:pPr>
        <w:spacing w:line="510" w:lineRule="exact"/>
        <w:ind w:firstLine="554" w:firstLineChars="198"/>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2</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银行进账单的填制</w:t>
      </w:r>
    </w:p>
    <w:p>
      <w:pPr>
        <w:spacing w:line="510" w:lineRule="exact"/>
        <w:ind w:firstLine="560" w:firstLineChars="200"/>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3</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销售发票的填制</w:t>
      </w:r>
    </w:p>
    <w:p>
      <w:pPr>
        <w:spacing w:line="510" w:lineRule="exact"/>
        <w:ind w:firstLine="554" w:firstLineChars="198"/>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4</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借支单的填制</w:t>
      </w:r>
    </w:p>
    <w:p>
      <w:pPr>
        <w:spacing w:line="510" w:lineRule="exact"/>
        <w:ind w:firstLine="560" w:firstLineChars="200"/>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5</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收款收据的填制</w:t>
      </w:r>
    </w:p>
    <w:p>
      <w:pPr>
        <w:spacing w:line="510" w:lineRule="exact"/>
        <w:ind w:firstLine="560" w:firstLineChars="200"/>
        <w:rPr>
          <w:rFonts w:hint="eastAsia" w:ascii="Times New Roman" w:hAnsi="Times New Roman" w:eastAsia="仿宋_GB2312" w:cs="Times New Roman"/>
          <w:color w:val="000000" w:themeColor="text1"/>
          <w:sz w:val="28"/>
          <w:lang w:eastAsia="zh-CN"/>
          <w14:textFill>
            <w14:solidFill>
              <w14:schemeClr w14:val="tx1"/>
            </w14:solidFill>
          </w14:textFill>
        </w:rPr>
      </w:pPr>
      <w:r>
        <w:rPr>
          <w:rFonts w:hint="eastAsia" w:ascii="Times New Roman" w:hAnsi="Times New Roman" w:eastAsia="仿宋_GB2312" w:cs="Times New Roman"/>
          <w:color w:val="000000" w:themeColor="text1"/>
          <w:sz w:val="28"/>
          <w:lang w:eastAsia="zh-CN"/>
          <w14:textFill>
            <w14:solidFill>
              <w14:schemeClr w14:val="tx1"/>
            </w14:solidFill>
          </w14:textFill>
        </w:rPr>
        <w:t>（</w:t>
      </w:r>
      <w:r>
        <w:rPr>
          <w:rFonts w:hint="eastAsia" w:ascii="Times New Roman" w:hAnsi="Times New Roman" w:eastAsia="仿宋_GB2312" w:cs="Times New Roman"/>
          <w:color w:val="000000" w:themeColor="text1"/>
          <w:sz w:val="28"/>
          <w:lang w:val="en-US" w:eastAsia="zh-CN"/>
          <w14:textFill>
            <w14:solidFill>
              <w14:schemeClr w14:val="tx1"/>
            </w14:solidFill>
          </w14:textFill>
        </w:rPr>
        <w:t>6</w:t>
      </w:r>
      <w:r>
        <w:rPr>
          <w:rFonts w:hint="eastAsia" w:ascii="Times New Roman" w:hAnsi="Times New Roman" w:eastAsia="仿宋_GB2312" w:cs="Times New Roman"/>
          <w:color w:val="000000" w:themeColor="text1"/>
          <w:sz w:val="28"/>
          <w:lang w:eastAsia="zh-CN"/>
          <w14:textFill>
            <w14:solidFill>
              <w14:schemeClr w14:val="tx1"/>
            </w14:solidFill>
          </w14:textFill>
        </w:rPr>
        <w:t>）差旅费报销单的填制</w:t>
      </w:r>
    </w:p>
    <w:p>
      <w:pPr>
        <w:spacing w:line="510" w:lineRule="exact"/>
        <w:ind w:firstLine="554" w:firstLineChars="198"/>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w:t>
      </w:r>
      <w:r>
        <w:rPr>
          <w:rFonts w:hint="eastAsia" w:ascii="Times New Roman" w:hAnsi="Times New Roman" w:eastAsia="仿宋_GB2312" w:cs="Times New Roman"/>
          <w:color w:val="000000" w:themeColor="text1"/>
          <w:sz w:val="28"/>
          <w:lang w:val="en-US" w:eastAsia="zh-CN"/>
          <w14:textFill>
            <w14:solidFill>
              <w14:schemeClr w14:val="tx1"/>
            </w14:solidFill>
          </w14:textFill>
        </w:rPr>
        <w:t>7</w:t>
      </w:r>
      <w:r>
        <w:rPr>
          <w:rFonts w:hint="eastAsia" w:ascii="Times New Roman" w:hAnsi="Times New Roman" w:eastAsia="仿宋_GB2312" w:cs="Times New Roman"/>
          <w:color w:val="000000" w:themeColor="text1"/>
          <w:sz w:val="28"/>
          <w14:textFill>
            <w14:solidFill>
              <w14:schemeClr w14:val="tx1"/>
            </w14:solidFill>
          </w14:textFill>
        </w:rPr>
        <w:t>）银行存款调节表的编制</w:t>
      </w:r>
    </w:p>
    <w:p>
      <w:pPr>
        <w:autoSpaceDE w:val="0"/>
        <w:autoSpaceDN w:val="0"/>
        <w:adjustRightInd w:val="0"/>
        <w:ind w:firstLine="560" w:firstLineChars="200"/>
        <w:jc w:val="left"/>
        <w:rPr>
          <w:rFonts w:ascii="Times New Roman" w:hAnsi="Times New Roman" w:eastAsia="仿宋_GB2312" w:cs="Times New Roman"/>
          <w:color w:val="000000" w:themeColor="text1"/>
          <w:sz w:val="28"/>
          <w14:textFill>
            <w14:solidFill>
              <w14:schemeClr w14:val="tx1"/>
            </w14:solidFill>
          </w14:textFill>
        </w:rPr>
      </w:pPr>
      <w:r>
        <w:rPr>
          <w:rFonts w:hint="eastAsia" w:ascii="仿宋_GB2312" w:eastAsia="仿宋_GB2312" w:cs="仿宋_GB2312"/>
          <w:kern w:val="0"/>
          <w:sz w:val="28"/>
          <w:szCs w:val="28"/>
        </w:rPr>
        <w:t>模块二</w:t>
      </w:r>
      <w:r>
        <w:rPr>
          <w:rFonts w:hint="eastAsia" w:ascii="TimesNewRomanPSMT" w:eastAsia="宋体" w:cs="TimesNewRomanPSMT"/>
          <w:kern w:val="0"/>
          <w:sz w:val="28"/>
          <w:szCs w:val="28"/>
        </w:rPr>
        <w:t>：</w:t>
      </w:r>
      <w:r>
        <w:rPr>
          <w:rFonts w:hint="eastAsia" w:ascii="Times New Roman" w:hAnsi="Times New Roman" w:eastAsia="仿宋_GB2312" w:cs="Times New Roman"/>
          <w:color w:val="000000" w:themeColor="text1"/>
          <w:sz w:val="28"/>
          <w14:textFill>
            <w14:solidFill>
              <w14:schemeClr w14:val="tx1"/>
            </w14:solidFill>
          </w14:textFill>
        </w:rPr>
        <w:t>岗位核心技能</w:t>
      </w:r>
    </w:p>
    <w:p>
      <w:pPr>
        <w:autoSpaceDE w:val="0"/>
        <w:autoSpaceDN w:val="0"/>
        <w:adjustRightInd w:val="0"/>
        <w:ind w:firstLine="560" w:firstLineChars="200"/>
        <w:jc w:val="left"/>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1.</w:t>
      </w:r>
      <w:r>
        <w:rPr>
          <w:rFonts w:ascii="Times New Roman" w:hAnsi="Times New Roman" w:eastAsia="仿宋_GB2312" w:cs="Times New Roman"/>
          <w:bCs/>
          <w:color w:val="000000" w:themeColor="text1"/>
          <w:sz w:val="28"/>
          <w14:textFill>
            <w14:solidFill>
              <w14:schemeClr w14:val="tx1"/>
            </w14:solidFill>
          </w14:textFill>
        </w:rPr>
        <w:t>记账凭证的填制与审核</w:t>
      </w:r>
    </w:p>
    <w:p>
      <w:pPr>
        <w:spacing w:line="440" w:lineRule="exact"/>
        <w:ind w:firstLine="560" w:firstLineChars="200"/>
        <w:rPr>
          <w:rFonts w:ascii="仿宋_GB2312" w:eastAsia="仿宋_GB2312" w:cs="仿宋_GB2312"/>
          <w:kern w:val="0"/>
          <w:sz w:val="28"/>
          <w:szCs w:val="28"/>
        </w:rPr>
      </w:pPr>
      <w:r>
        <w:rPr>
          <w:rFonts w:hint="eastAsia" w:ascii="仿宋_GB2312" w:eastAsia="仿宋_GB2312" w:cs="仿宋_GB2312"/>
          <w:kern w:val="0"/>
          <w:sz w:val="28"/>
          <w:szCs w:val="28"/>
        </w:rPr>
        <w:t>基本要求：</w:t>
      </w:r>
    </w:p>
    <w:p>
      <w:pPr>
        <w:spacing w:line="440" w:lineRule="exact"/>
        <w:ind w:firstLine="560" w:firstLineChars="200"/>
        <w:rPr>
          <w:rFonts w:ascii="Times New Roman" w:hAnsi="Times New Roman" w:eastAsia="仿宋_GB2312" w:cs="Times New Roman"/>
          <w:bCs/>
          <w:color w:val="000000" w:themeColor="text1"/>
          <w:sz w:val="28"/>
          <w14:textFill>
            <w14:solidFill>
              <w14:schemeClr w14:val="tx1"/>
            </w14:solidFill>
          </w14:textFill>
        </w:rPr>
      </w:pPr>
      <w:r>
        <w:rPr>
          <w:rFonts w:hint="eastAsia" w:ascii="仿宋_GB2312" w:eastAsia="仿宋_GB2312" w:cs="仿宋_GB2312"/>
          <w:kern w:val="0"/>
          <w:sz w:val="28"/>
          <w:szCs w:val="28"/>
        </w:rPr>
        <w:t>（1）</w:t>
      </w:r>
      <w:r>
        <w:rPr>
          <w:rFonts w:hint="eastAsia" w:ascii="Times New Roman" w:hAnsi="Times New Roman" w:eastAsia="仿宋_GB2312" w:cs="Times New Roman"/>
          <w:bCs/>
          <w:color w:val="000000" w:themeColor="text1"/>
          <w:sz w:val="28"/>
          <w14:textFill>
            <w14:solidFill>
              <w14:schemeClr w14:val="tx1"/>
            </w14:solidFill>
          </w14:textFill>
        </w:rPr>
        <w:t>常规经济业务的会计处理，主要包括采购原材料、销售收入、费用报销、采购固定资产、固定资产折旧、计提本月工资、计提本月税费、制造费用结转、完工入库、结转销售成本、结转损益等业务。</w:t>
      </w:r>
    </w:p>
    <w:p>
      <w:pPr>
        <w:spacing w:line="440" w:lineRule="exact"/>
        <w:ind w:firstLine="560" w:firstLineChars="200"/>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（2）选考经济业务的会计处理，包括领用原材料、原材料入库、发放上月工资、缴纳上月税费、预收预付款、应收应付款、取现、在建工程、固定资产报废、原材料盘点、固定资产盘点、支付水电费等业务。</w:t>
      </w:r>
    </w:p>
    <w:p>
      <w:pPr>
        <w:autoSpaceDE w:val="0"/>
        <w:autoSpaceDN w:val="0"/>
        <w:adjustRightInd w:val="0"/>
        <w:ind w:firstLine="560" w:firstLineChars="200"/>
        <w:jc w:val="left"/>
        <w:rPr>
          <w:rFonts w:ascii="仿宋_GB2312" w:eastAsia="仿宋_GB2312" w:cs="仿宋_GB2312"/>
          <w:kern w:val="0"/>
          <w:sz w:val="28"/>
          <w:szCs w:val="28"/>
        </w:rPr>
      </w:pPr>
      <w:r>
        <w:rPr>
          <w:rFonts w:ascii="TimesNewRomanPSMT" w:eastAsia="TimesNewRomanPSMT" w:cs="TimesNewRomanPSMT"/>
          <w:kern w:val="0"/>
          <w:sz w:val="28"/>
          <w:szCs w:val="28"/>
        </w:rPr>
        <w:t>2</w:t>
      </w:r>
      <w:r>
        <w:rPr>
          <w:rFonts w:hint="eastAsia" w:ascii="仿宋_GB2312" w:eastAsia="仿宋_GB2312" w:cs="仿宋_GB2312"/>
          <w:kern w:val="0"/>
          <w:sz w:val="28"/>
          <w:szCs w:val="28"/>
        </w:rPr>
        <w:t>．</w:t>
      </w:r>
      <w:r>
        <w:rPr>
          <w:rFonts w:hint="eastAsia" w:ascii="Times New Roman" w:hAnsi="Times New Roman" w:eastAsia="仿宋_GB2312" w:cs="Times New Roman"/>
          <w:bCs/>
          <w:color w:val="000000" w:themeColor="text1"/>
          <w:sz w:val="28"/>
          <w14:textFill>
            <w14:solidFill>
              <w14:schemeClr w14:val="tx1"/>
            </w14:solidFill>
          </w14:textFill>
        </w:rPr>
        <w:t>数据查询</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基本要求：能熟练运用计算机相关知识，快速查询各项财务数据。</w:t>
      </w:r>
    </w:p>
    <w:p>
      <w:pPr>
        <w:numPr>
          <w:ilvl w:val="0"/>
          <w:numId w:val="1"/>
        </w:numPr>
        <w:autoSpaceDE w:val="0"/>
        <w:autoSpaceDN w:val="0"/>
        <w:adjustRightInd w:val="0"/>
        <w:ind w:firstLine="560" w:firstLineChars="200"/>
        <w:jc w:val="left"/>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资产负债表或利润表或增值税纳税申报表</w:t>
      </w:r>
      <w:r>
        <w:rPr>
          <w:rFonts w:ascii="Times New Roman" w:hAnsi="Times New Roman" w:eastAsia="仿宋_GB2312" w:cs="Times New Roman"/>
          <w:bCs/>
          <w:color w:val="000000" w:themeColor="text1"/>
          <w:sz w:val="28"/>
          <w14:textFill>
            <w14:solidFill>
              <w14:schemeClr w14:val="tx1"/>
            </w14:solidFill>
          </w14:textFill>
        </w:rPr>
        <w:t>的编制</w:t>
      </w:r>
    </w:p>
    <w:p>
      <w:pPr>
        <w:autoSpaceDE w:val="0"/>
        <w:autoSpaceDN w:val="0"/>
        <w:adjustRightInd w:val="0"/>
        <w:ind w:firstLine="560"/>
        <w:jc w:val="left"/>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基本要求：根据企业会计准则和相关法律法规的要求，能准确填制资产负债表、利润表、现金流量表及增值税纳税申报表的各项指标。</w:t>
      </w:r>
    </w:p>
    <w:p>
      <w:pPr>
        <w:autoSpaceDE w:val="0"/>
        <w:autoSpaceDN w:val="0"/>
        <w:adjustRightInd w:val="0"/>
        <w:ind w:firstLine="560"/>
        <w:jc w:val="left"/>
        <w:rPr>
          <w:rFonts w:ascii="仿宋_GB2312" w:eastAsia="仿宋_GB2312" w:cs="仿宋_GB2312"/>
          <w:kern w:val="0"/>
          <w:sz w:val="28"/>
          <w:szCs w:val="28"/>
        </w:rPr>
      </w:pPr>
      <w:r>
        <w:rPr>
          <w:rFonts w:hint="eastAsia" w:ascii="仿宋_GB2312" w:eastAsia="仿宋_GB2312" w:cs="仿宋_GB2312"/>
          <w:kern w:val="0"/>
          <w:sz w:val="28"/>
          <w:szCs w:val="28"/>
        </w:rPr>
        <w:t>模块三</w:t>
      </w:r>
      <w:r>
        <w:rPr>
          <w:rFonts w:hint="eastAsia" w:ascii="TimesNewRomanPSMT" w:eastAsia="宋体" w:cs="TimesNewRomanPSMT"/>
          <w:kern w:val="0"/>
          <w:sz w:val="28"/>
          <w:szCs w:val="28"/>
        </w:rPr>
        <w:t>：</w:t>
      </w:r>
      <w:r>
        <w:rPr>
          <w:rFonts w:hint="eastAsia" w:ascii="仿宋_GB2312" w:eastAsia="仿宋_GB2312" w:cs="仿宋_GB2312"/>
          <w:kern w:val="0"/>
          <w:sz w:val="28"/>
          <w:szCs w:val="28"/>
        </w:rPr>
        <w:t>岗位拓展技能</w:t>
      </w:r>
    </w:p>
    <w:p>
      <w:pPr>
        <w:autoSpaceDE w:val="0"/>
        <w:autoSpaceDN w:val="0"/>
        <w:adjustRightInd w:val="0"/>
        <w:ind w:firstLine="560"/>
        <w:jc w:val="left"/>
        <w:rPr>
          <w:rFonts w:ascii="仿宋_GB2312" w:eastAsia="仿宋_GB2312" w:cs="仿宋_GB2312"/>
          <w:color w:val="auto"/>
          <w:kern w:val="0"/>
          <w:sz w:val="28"/>
          <w:szCs w:val="28"/>
        </w:rPr>
      </w:pPr>
      <w:r>
        <w:rPr>
          <w:rFonts w:hint="eastAsia" w:ascii="Times New Roman" w:hAnsi="Times New Roman" w:eastAsia="仿宋_GB2312" w:cs="Times New Roman"/>
          <w:bCs/>
          <w:color w:val="000000" w:themeColor="text1"/>
          <w:sz w:val="28"/>
          <w14:textFill>
            <w14:solidFill>
              <w14:schemeClr w14:val="tx1"/>
            </w14:solidFill>
          </w14:textFill>
        </w:rPr>
        <w:t>本子模块包括</w:t>
      </w:r>
      <w:r>
        <w:rPr>
          <w:rFonts w:hint="eastAsia" w:ascii="Times New Roman" w:hAnsi="Times New Roman" w:eastAsia="仿宋_GB2312" w:cs="Times New Roman"/>
          <w:bCs/>
          <w:color w:val="000000" w:themeColor="text1"/>
          <w:sz w:val="28"/>
          <w:lang w:val="en-US" w:eastAsia="zh-CN"/>
          <w14:textFill>
            <w14:solidFill>
              <w14:schemeClr w14:val="tx1"/>
            </w14:solidFill>
          </w14:textFill>
        </w:rPr>
        <w:t>审计工作底稿</w:t>
      </w:r>
      <w:r>
        <w:rPr>
          <w:rFonts w:hint="eastAsia" w:ascii="Times New Roman" w:hAnsi="Times New Roman" w:eastAsia="仿宋_GB2312" w:cs="Times New Roman"/>
          <w:bCs/>
          <w:color w:val="000000" w:themeColor="text1"/>
          <w:sz w:val="28"/>
          <w14:textFill>
            <w14:solidFill>
              <w14:schemeClr w14:val="tx1"/>
            </w14:solidFill>
          </w14:textFill>
        </w:rPr>
        <w:t>的编制</w:t>
      </w:r>
      <w:r>
        <w:rPr>
          <w:rFonts w:hint="eastAsia" w:ascii="Times New Roman" w:hAnsi="Times New Roman" w:eastAsia="仿宋_GB2312" w:cs="Times New Roman"/>
          <w:bCs/>
          <w:color w:val="000000" w:themeColor="text1"/>
          <w:sz w:val="28"/>
          <w:lang w:eastAsia="zh-CN"/>
          <w14:textFill>
            <w14:solidFill>
              <w14:schemeClr w14:val="tx1"/>
            </w14:solidFill>
          </w14:textFill>
        </w:rPr>
        <w:t>及</w:t>
      </w:r>
      <w:r>
        <w:rPr>
          <w:rFonts w:hint="eastAsia" w:ascii="Times New Roman" w:hAnsi="Times New Roman" w:eastAsia="仿宋_GB2312" w:cs="Times New Roman"/>
          <w:bCs/>
          <w:color w:val="000000" w:themeColor="text1"/>
          <w:sz w:val="28"/>
          <w:lang w:val="en-US" w:eastAsia="zh-CN"/>
          <w14:textFill>
            <w14:solidFill>
              <w14:schemeClr w14:val="tx1"/>
            </w14:solidFill>
          </w14:textFill>
        </w:rPr>
        <w:t>审</w:t>
      </w:r>
      <w:r>
        <w:rPr>
          <w:rFonts w:hint="eastAsia" w:ascii="Times New Roman" w:hAnsi="Times New Roman" w:eastAsia="仿宋_GB2312" w:cs="Times New Roman"/>
          <w:bCs/>
          <w:color w:val="auto"/>
          <w:sz w:val="28"/>
          <w:lang w:val="en-US" w:eastAsia="zh-CN"/>
        </w:rPr>
        <w:t>计</w:t>
      </w:r>
      <w:r>
        <w:rPr>
          <w:rFonts w:hint="eastAsia" w:ascii="仿宋_GB2312" w:eastAsia="仿宋_GB2312" w:cs="仿宋_GB2312"/>
          <w:color w:val="auto"/>
          <w:kern w:val="0"/>
          <w:sz w:val="28"/>
          <w:szCs w:val="28"/>
        </w:rPr>
        <w:t>基本</w:t>
      </w:r>
      <w:r>
        <w:rPr>
          <w:rFonts w:hint="eastAsia" w:ascii="仿宋_GB2312" w:eastAsia="仿宋_GB2312" w:cs="仿宋_GB2312"/>
          <w:color w:val="auto"/>
          <w:kern w:val="0"/>
          <w:sz w:val="28"/>
          <w:szCs w:val="28"/>
          <w:lang w:val="en-US" w:eastAsia="zh-CN"/>
        </w:rPr>
        <w:t>方法运用、</w:t>
      </w:r>
      <w:r>
        <w:rPr>
          <w:rFonts w:hint="eastAsia" w:ascii="Times New Roman" w:hAnsi="Times New Roman" w:eastAsia="仿宋_GB2312" w:cs="Times New Roman"/>
          <w:bCs/>
          <w:color w:val="auto"/>
          <w:sz w:val="28"/>
          <w:lang w:val="en-US" w:eastAsia="zh-CN"/>
        </w:rPr>
        <w:t>审计报告2</w:t>
      </w:r>
      <w:r>
        <w:rPr>
          <w:rFonts w:hint="eastAsia" w:ascii="Times New Roman" w:hAnsi="Times New Roman" w:eastAsia="仿宋_GB2312" w:cs="Times New Roman"/>
          <w:bCs/>
          <w:color w:val="auto"/>
          <w:sz w:val="28"/>
        </w:rPr>
        <w:t>个项目。各校任选一个项目进行考试。</w:t>
      </w:r>
    </w:p>
    <w:p>
      <w:pPr>
        <w:autoSpaceDE w:val="0"/>
        <w:autoSpaceDN w:val="0"/>
        <w:adjustRightInd w:val="0"/>
        <w:ind w:firstLine="560" w:firstLineChars="200"/>
        <w:jc w:val="left"/>
        <w:rPr>
          <w:rFonts w:hint="eastAsia" w:ascii="Times New Roman" w:hAnsi="Times New Roman" w:eastAsia="仿宋_GB2312" w:cs="Times New Roman"/>
          <w:color w:val="auto"/>
          <w:sz w:val="28"/>
          <w:lang w:eastAsia="zh-CN"/>
        </w:rPr>
      </w:pPr>
      <w:r>
        <w:rPr>
          <w:rFonts w:hint="eastAsia" w:ascii="Times New Roman" w:hAnsi="Times New Roman" w:eastAsia="仿宋_GB2312" w:cs="Times New Roman"/>
          <w:bCs/>
          <w:color w:val="auto"/>
          <w:sz w:val="28"/>
          <w:lang w:val="en-US" w:eastAsia="zh-CN"/>
        </w:rPr>
        <w:t>1.审计工作底稿</w:t>
      </w:r>
      <w:r>
        <w:rPr>
          <w:rFonts w:hint="eastAsia" w:ascii="Times New Roman" w:hAnsi="Times New Roman" w:eastAsia="仿宋_GB2312" w:cs="Times New Roman"/>
          <w:bCs/>
          <w:color w:val="auto"/>
          <w:sz w:val="28"/>
        </w:rPr>
        <w:t>的编制</w:t>
      </w:r>
      <w:r>
        <w:rPr>
          <w:rFonts w:hint="eastAsia" w:ascii="Times New Roman" w:hAnsi="Times New Roman" w:eastAsia="仿宋_GB2312" w:cs="Times New Roman"/>
          <w:bCs/>
          <w:color w:val="FF0000"/>
          <w:sz w:val="28"/>
          <w:lang w:val="en-US" w:eastAsia="zh-CN"/>
        </w:rPr>
        <w:t>（需要安排出题）</w:t>
      </w:r>
    </w:p>
    <w:p>
      <w:pPr>
        <w:autoSpaceDE w:val="0"/>
        <w:autoSpaceDN w:val="0"/>
        <w:adjustRightInd w:val="0"/>
        <w:ind w:firstLine="560" w:firstLineChars="200"/>
        <w:jc w:val="left"/>
        <w:rPr>
          <w:rFonts w:ascii="Times New Roman" w:hAnsi="Times New Roman" w:eastAsia="仿宋_GB2312" w:cs="Times New Roman"/>
          <w:color w:val="000000" w:themeColor="text1"/>
          <w:sz w:val="28"/>
          <w14:textFill>
            <w14:solidFill>
              <w14:schemeClr w14:val="tx1"/>
            </w14:solidFill>
          </w14:textFill>
        </w:rPr>
      </w:pPr>
      <w:r>
        <w:rPr>
          <w:rFonts w:hint="eastAsia" w:ascii="仿宋_GB2312" w:eastAsia="仿宋_GB2312" w:cs="仿宋_GB2312"/>
          <w:kern w:val="0"/>
          <w:sz w:val="28"/>
          <w:szCs w:val="28"/>
        </w:rPr>
        <w:t>基本要求：</w:t>
      </w:r>
      <w:r>
        <w:rPr>
          <w:rFonts w:ascii="Times New Roman" w:hAnsi="Times New Roman" w:eastAsia="仿宋_GB2312" w:cs="Times New Roman"/>
          <w:color w:val="000000" w:themeColor="text1"/>
          <w:sz w:val="28"/>
          <w14:textFill>
            <w14:solidFill>
              <w14:schemeClr w14:val="tx1"/>
            </w14:solidFill>
          </w14:textFill>
        </w:rPr>
        <w:t>以《</w:t>
      </w:r>
      <w:r>
        <w:rPr>
          <w:rFonts w:hint="eastAsia" w:ascii="Times New Roman" w:hAnsi="Times New Roman" w:eastAsia="仿宋_GB2312" w:cs="Times New Roman"/>
          <w:color w:val="000000" w:themeColor="text1"/>
          <w:sz w:val="28"/>
          <w:lang w:val="en-US" w:eastAsia="zh-CN"/>
          <w14:textFill>
            <w14:solidFill>
              <w14:schemeClr w14:val="tx1"/>
            </w14:solidFill>
          </w14:textFill>
        </w:rPr>
        <w:t>中国注册会计师执业准则</w:t>
      </w:r>
      <w:r>
        <w:rPr>
          <w:rFonts w:ascii="Times New Roman" w:hAnsi="Times New Roman" w:eastAsia="仿宋_GB2312" w:cs="Times New Roman"/>
          <w:color w:val="000000" w:themeColor="text1"/>
          <w:sz w:val="28"/>
          <w14:textFill>
            <w14:solidFill>
              <w14:schemeClr w14:val="tx1"/>
            </w14:solidFill>
          </w14:textFill>
        </w:rPr>
        <w:t>》、《企业会计准则》及其</w:t>
      </w:r>
      <w:r>
        <w:rPr>
          <w:rFonts w:hint="eastAsia" w:ascii="Times New Roman" w:hAnsi="Times New Roman" w:eastAsia="仿宋_GB2312" w:cs="Times New Roman"/>
          <w:color w:val="000000" w:themeColor="text1"/>
          <w:sz w:val="28"/>
          <w:lang w:val="en-US" w:eastAsia="zh-CN"/>
          <w14:textFill>
            <w14:solidFill>
              <w14:schemeClr w14:val="tx1"/>
            </w14:solidFill>
          </w14:textFill>
        </w:rPr>
        <w:t>相关的</w:t>
      </w:r>
      <w:r>
        <w:rPr>
          <w:rFonts w:ascii="Times New Roman" w:hAnsi="Times New Roman" w:eastAsia="仿宋_GB2312" w:cs="Times New Roman"/>
          <w:color w:val="000000" w:themeColor="text1"/>
          <w:sz w:val="28"/>
          <w14:textFill>
            <w14:solidFill>
              <w14:schemeClr w14:val="tx1"/>
            </w14:solidFill>
          </w14:textFill>
        </w:rPr>
        <w:t>《应用指南》为依据</w:t>
      </w:r>
      <w:r>
        <w:rPr>
          <w:rFonts w:hint="eastAsia" w:ascii="Times New Roman" w:hAnsi="Times New Roman" w:eastAsia="仿宋_GB2312" w:cs="Times New Roman"/>
          <w:color w:val="000000" w:themeColor="text1"/>
          <w:sz w:val="28"/>
          <w14:textFill>
            <w14:solidFill>
              <w14:schemeClr w14:val="tx1"/>
            </w14:solidFill>
          </w14:textFill>
        </w:rPr>
        <w:t>，借助云上实训的平台，</w:t>
      </w:r>
      <w:r>
        <w:rPr>
          <w:rFonts w:ascii="Times New Roman" w:hAnsi="Times New Roman" w:eastAsia="仿宋_GB2312" w:cs="Times New Roman"/>
          <w:color w:val="000000" w:themeColor="text1"/>
          <w:sz w:val="28"/>
          <w14:textFill>
            <w14:solidFill>
              <w14:schemeClr w14:val="tx1"/>
            </w14:solidFill>
          </w14:textFill>
        </w:rPr>
        <w:t>正确、规范填制</w:t>
      </w:r>
      <w:r>
        <w:rPr>
          <w:rFonts w:hint="eastAsia" w:ascii="Times New Roman" w:hAnsi="Times New Roman" w:eastAsia="仿宋_GB2312" w:cs="Times New Roman"/>
          <w:color w:val="000000" w:themeColor="text1"/>
          <w:sz w:val="28"/>
          <w:lang w:val="en-US" w:eastAsia="zh-CN"/>
          <w14:textFill>
            <w14:solidFill>
              <w14:schemeClr w14:val="tx1"/>
            </w14:solidFill>
          </w14:textFill>
        </w:rPr>
        <w:t>审计工作底稿</w:t>
      </w:r>
      <w:r>
        <w:rPr>
          <w:rFonts w:ascii="Times New Roman" w:hAnsi="Times New Roman" w:eastAsia="仿宋_GB2312" w:cs="Times New Roman"/>
          <w:color w:val="000000" w:themeColor="text1"/>
          <w:sz w:val="28"/>
          <w14:textFill>
            <w14:solidFill>
              <w14:schemeClr w14:val="tx1"/>
            </w14:solidFill>
          </w14:textFill>
        </w:rPr>
        <w:t>，审核</w:t>
      </w:r>
      <w:r>
        <w:rPr>
          <w:rFonts w:hint="eastAsia" w:ascii="Times New Roman" w:hAnsi="Times New Roman" w:eastAsia="仿宋_GB2312" w:cs="Times New Roman"/>
          <w:color w:val="000000" w:themeColor="text1"/>
          <w:sz w:val="28"/>
          <w:lang w:val="en-US" w:eastAsia="zh-CN"/>
          <w14:textFill>
            <w14:solidFill>
              <w14:schemeClr w14:val="tx1"/>
            </w14:solidFill>
          </w14:textFill>
        </w:rPr>
        <w:t>审计工作底稿的规范性、</w:t>
      </w:r>
      <w:r>
        <w:rPr>
          <w:rFonts w:ascii="Times New Roman" w:hAnsi="Times New Roman" w:eastAsia="仿宋_GB2312" w:cs="Times New Roman"/>
          <w:color w:val="000000" w:themeColor="text1"/>
          <w:sz w:val="28"/>
          <w14:textFill>
            <w14:solidFill>
              <w14:schemeClr w14:val="tx1"/>
            </w14:solidFill>
          </w14:textFill>
        </w:rPr>
        <w:t>正确性和完整性，如：</w:t>
      </w:r>
      <w:r>
        <w:rPr>
          <w:rFonts w:hint="eastAsia" w:ascii="Times New Roman" w:hAnsi="Times New Roman" w:eastAsia="仿宋_GB2312" w:cs="Times New Roman"/>
          <w:color w:val="000000" w:themeColor="text1"/>
          <w:sz w:val="28"/>
          <w:lang w:val="en-US" w:eastAsia="zh-CN"/>
          <w14:textFill>
            <w14:solidFill>
              <w14:schemeClr w14:val="tx1"/>
            </w14:solidFill>
          </w14:textFill>
        </w:rPr>
        <w:t>审计工作底稿的要素是否齐全、审计过程是否完整、审计结论是否正确</w:t>
      </w:r>
      <w:r>
        <w:rPr>
          <w:rFonts w:ascii="Times New Roman" w:hAnsi="Times New Roman" w:eastAsia="仿宋_GB2312" w:cs="Times New Roman"/>
          <w:color w:val="000000" w:themeColor="text1"/>
          <w:sz w:val="28"/>
          <w14:textFill>
            <w14:solidFill>
              <w14:schemeClr w14:val="tx1"/>
            </w14:solidFill>
          </w14:textFill>
        </w:rPr>
        <w:t>等。</w:t>
      </w:r>
    </w:p>
    <w:p>
      <w:pPr>
        <w:numPr>
          <w:ilvl w:val="0"/>
          <w:numId w:val="2"/>
        </w:numPr>
        <w:spacing w:line="510" w:lineRule="exact"/>
        <w:ind w:firstLine="554" w:firstLineChars="198"/>
        <w:rPr>
          <w:rFonts w:hint="eastAsia" w:ascii="Times New Roman" w:hAnsi="Times New Roman" w:eastAsia="仿宋_GB2312" w:cs="Times New Roman"/>
          <w:color w:val="000000" w:themeColor="text1"/>
          <w:sz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lang w:val="en-US" w:eastAsia="zh-CN"/>
          <w14:textFill>
            <w14:solidFill>
              <w14:schemeClr w14:val="tx1"/>
            </w14:solidFill>
          </w14:textFill>
        </w:rPr>
        <w:t>现金盘点表的编制</w:t>
      </w:r>
    </w:p>
    <w:p>
      <w:pPr>
        <w:spacing w:line="510" w:lineRule="exact"/>
        <w:ind w:firstLine="560" w:firstLineChars="200"/>
        <w:rPr>
          <w:rFonts w:hint="eastAsia" w:ascii="Times New Roman" w:hAnsi="Times New Roman" w:eastAsia="仿宋_GB2312" w:cs="Times New Roman"/>
          <w:color w:val="000000" w:themeColor="text1"/>
          <w:sz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2</w:t>
      </w:r>
      <w:r>
        <w:rPr>
          <w:rFonts w:hint="eastAsia" w:ascii="Times New Roman" w:hAnsi="Times New Roman" w:eastAsia="仿宋_GB2312" w:cs="Times New Roman"/>
          <w:color w:val="000000" w:themeColor="text1"/>
          <w:sz w:val="28"/>
          <w14:textFill>
            <w14:solidFill>
              <w14:schemeClr w14:val="tx1"/>
            </w14:solidFill>
          </w14:textFill>
        </w:rPr>
        <w:t>）</w:t>
      </w:r>
      <w:r>
        <w:rPr>
          <w:rFonts w:hint="eastAsia" w:ascii="Times New Roman" w:hAnsi="Times New Roman" w:eastAsia="仿宋_GB2312" w:cs="Times New Roman"/>
          <w:color w:val="000000" w:themeColor="text1"/>
          <w:sz w:val="28"/>
          <w:lang w:val="en-US" w:eastAsia="zh-CN"/>
          <w14:textFill>
            <w14:solidFill>
              <w14:schemeClr w14:val="tx1"/>
            </w14:solidFill>
          </w14:textFill>
        </w:rPr>
        <w:t>应收账款明细表</w:t>
      </w:r>
      <w:r>
        <w:rPr>
          <w:rFonts w:ascii="Times New Roman" w:hAnsi="Times New Roman" w:eastAsia="仿宋_GB2312" w:cs="Times New Roman"/>
          <w:color w:val="000000" w:themeColor="text1"/>
          <w:sz w:val="28"/>
          <w14:textFill>
            <w14:solidFill>
              <w14:schemeClr w14:val="tx1"/>
            </w14:solidFill>
          </w14:textFill>
        </w:rPr>
        <w:t>的填</w:t>
      </w:r>
      <w:r>
        <w:rPr>
          <w:rFonts w:hint="eastAsia" w:ascii="Times New Roman" w:hAnsi="Times New Roman" w:eastAsia="仿宋_GB2312" w:cs="Times New Roman"/>
          <w:color w:val="000000" w:themeColor="text1"/>
          <w:sz w:val="28"/>
          <w:lang w:val="en-US" w:eastAsia="zh-CN"/>
          <w14:textFill>
            <w14:solidFill>
              <w14:schemeClr w14:val="tx1"/>
            </w14:solidFill>
          </w14:textFill>
        </w:rPr>
        <w:t>列</w:t>
      </w:r>
    </w:p>
    <w:p>
      <w:pPr>
        <w:spacing w:line="510" w:lineRule="exact"/>
        <w:ind w:firstLine="554" w:firstLineChars="198"/>
        <w:rPr>
          <w:rFonts w:hint="default" w:ascii="Times New Roman" w:hAnsi="Times New Roman" w:eastAsia="仿宋_GB2312" w:cs="Times New Roman"/>
          <w:color w:val="000000" w:themeColor="text1"/>
          <w:sz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3</w:t>
      </w:r>
      <w:r>
        <w:rPr>
          <w:rFonts w:hint="eastAsia" w:ascii="Times New Roman" w:hAnsi="Times New Roman" w:eastAsia="仿宋_GB2312" w:cs="Times New Roman"/>
          <w:color w:val="000000" w:themeColor="text1"/>
          <w:sz w:val="28"/>
          <w14:textFill>
            <w14:solidFill>
              <w14:schemeClr w14:val="tx1"/>
            </w14:solidFill>
          </w14:textFill>
        </w:rPr>
        <w:t>）</w:t>
      </w:r>
      <w:r>
        <w:rPr>
          <w:rFonts w:hint="eastAsia" w:ascii="Times New Roman" w:hAnsi="Times New Roman" w:eastAsia="仿宋_GB2312" w:cs="Times New Roman"/>
          <w:color w:val="000000" w:themeColor="text1"/>
          <w:sz w:val="28"/>
          <w:lang w:val="en-US" w:eastAsia="zh-CN"/>
          <w14:textFill>
            <w14:solidFill>
              <w14:schemeClr w14:val="tx1"/>
            </w14:solidFill>
          </w14:textFill>
        </w:rPr>
        <w:t>应收账款账龄分析表的填制</w:t>
      </w:r>
    </w:p>
    <w:p>
      <w:pPr>
        <w:spacing w:line="510" w:lineRule="exact"/>
        <w:ind w:firstLine="560" w:firstLineChars="200"/>
        <w:rPr>
          <w:rFonts w:hint="default" w:ascii="Times New Roman" w:hAnsi="Times New Roman" w:eastAsia="仿宋_GB2312" w:cs="Times New Roman"/>
          <w:color w:val="000000" w:themeColor="text1"/>
          <w:sz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4</w:t>
      </w:r>
      <w:r>
        <w:rPr>
          <w:rFonts w:hint="eastAsia" w:ascii="Times New Roman" w:hAnsi="Times New Roman" w:eastAsia="仿宋_GB2312" w:cs="Times New Roman"/>
          <w:color w:val="000000" w:themeColor="text1"/>
          <w:sz w:val="28"/>
          <w14:textFill>
            <w14:solidFill>
              <w14:schemeClr w14:val="tx1"/>
            </w14:solidFill>
          </w14:textFill>
        </w:rPr>
        <w:t>）</w:t>
      </w:r>
      <w:r>
        <w:rPr>
          <w:rFonts w:hint="eastAsia" w:ascii="Times New Roman" w:hAnsi="Times New Roman" w:eastAsia="仿宋_GB2312" w:cs="Times New Roman"/>
          <w:color w:val="000000" w:themeColor="text1"/>
          <w:sz w:val="28"/>
          <w:lang w:val="en-US" w:eastAsia="zh-CN"/>
          <w14:textFill>
            <w14:solidFill>
              <w14:schemeClr w14:val="tx1"/>
            </w14:solidFill>
          </w14:textFill>
        </w:rPr>
        <w:t>固定资产明细表的填开</w:t>
      </w:r>
    </w:p>
    <w:p>
      <w:pPr>
        <w:spacing w:line="510" w:lineRule="exact"/>
        <w:ind w:firstLine="560" w:firstLineChars="200"/>
        <w:rPr>
          <w:rFonts w:hint="default" w:ascii="Times New Roman" w:hAnsi="Times New Roman" w:eastAsia="仿宋_GB2312" w:cs="Times New Roman"/>
          <w:color w:val="000000" w:themeColor="text1"/>
          <w:sz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5</w:t>
      </w:r>
      <w:r>
        <w:rPr>
          <w:rFonts w:hint="eastAsia" w:ascii="Times New Roman" w:hAnsi="Times New Roman" w:eastAsia="仿宋_GB2312" w:cs="Times New Roman"/>
          <w:color w:val="000000" w:themeColor="text1"/>
          <w:sz w:val="28"/>
          <w14:textFill>
            <w14:solidFill>
              <w14:schemeClr w14:val="tx1"/>
            </w14:solidFill>
          </w14:textFill>
        </w:rPr>
        <w:t>）</w:t>
      </w:r>
      <w:r>
        <w:rPr>
          <w:rFonts w:hint="eastAsia" w:ascii="Times New Roman" w:hAnsi="Times New Roman" w:eastAsia="仿宋_GB2312" w:cs="Times New Roman"/>
          <w:color w:val="000000" w:themeColor="text1"/>
          <w:sz w:val="28"/>
          <w:lang w:val="en-US" w:eastAsia="zh-CN"/>
          <w14:textFill>
            <w14:solidFill>
              <w14:schemeClr w14:val="tx1"/>
            </w14:solidFill>
          </w14:textFill>
        </w:rPr>
        <w:t>存货盘点表的填列</w:t>
      </w:r>
    </w:p>
    <w:p>
      <w:pPr>
        <w:spacing w:line="510" w:lineRule="exact"/>
        <w:ind w:firstLine="554" w:firstLineChars="198"/>
        <w:rPr>
          <w:rFonts w:hint="eastAsia"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lang w:eastAsia="zh-CN"/>
          <w14:textFill>
            <w14:solidFill>
              <w14:schemeClr w14:val="tx1"/>
            </w14:solidFill>
          </w14:textFill>
        </w:rPr>
        <w:t>（</w:t>
      </w:r>
      <w:r>
        <w:rPr>
          <w:rFonts w:hint="eastAsia" w:ascii="Times New Roman" w:hAnsi="Times New Roman" w:eastAsia="仿宋_GB2312" w:cs="Times New Roman"/>
          <w:color w:val="000000" w:themeColor="text1"/>
          <w:sz w:val="28"/>
          <w:lang w:val="en-US" w:eastAsia="zh-CN"/>
          <w14:textFill>
            <w14:solidFill>
              <w14:schemeClr w14:val="tx1"/>
            </w14:solidFill>
          </w14:textFill>
        </w:rPr>
        <w:t>6</w:t>
      </w:r>
      <w:r>
        <w:rPr>
          <w:rFonts w:hint="eastAsia" w:ascii="Times New Roman" w:hAnsi="Times New Roman" w:eastAsia="仿宋_GB2312" w:cs="Times New Roman"/>
          <w:color w:val="000000" w:themeColor="text1"/>
          <w:sz w:val="28"/>
          <w:lang w:eastAsia="zh-CN"/>
          <w14:textFill>
            <w14:solidFill>
              <w14:schemeClr w14:val="tx1"/>
            </w14:solidFill>
          </w14:textFill>
        </w:rPr>
        <w:t>）</w:t>
      </w:r>
      <w:r>
        <w:rPr>
          <w:rFonts w:hint="eastAsia" w:ascii="Times New Roman" w:hAnsi="Times New Roman" w:eastAsia="仿宋_GB2312" w:cs="Times New Roman"/>
          <w:color w:val="000000" w:themeColor="text1"/>
          <w:sz w:val="28"/>
          <w:lang w:val="en-US" w:eastAsia="zh-CN"/>
          <w14:textFill>
            <w14:solidFill>
              <w14:schemeClr w14:val="tx1"/>
            </w14:solidFill>
          </w14:textFill>
        </w:rPr>
        <w:t>营业收入明细表</w:t>
      </w:r>
      <w:r>
        <w:rPr>
          <w:rFonts w:hint="eastAsia" w:ascii="Times New Roman" w:hAnsi="Times New Roman" w:eastAsia="仿宋_GB2312" w:cs="Times New Roman"/>
          <w:color w:val="000000" w:themeColor="text1"/>
          <w:sz w:val="28"/>
          <w14:textFill>
            <w14:solidFill>
              <w14:schemeClr w14:val="tx1"/>
            </w14:solidFill>
          </w14:textFill>
        </w:rPr>
        <w:t>的编制</w:t>
      </w:r>
    </w:p>
    <w:p>
      <w:pPr>
        <w:spacing w:line="510" w:lineRule="exact"/>
        <w:ind w:firstLine="554" w:firstLineChars="198"/>
        <w:rPr>
          <w:rFonts w:hint="eastAsia" w:ascii="Times New Roman" w:hAnsi="Times New Roman" w:eastAsia="仿宋_GB2312" w:cs="Times New Roman"/>
          <w:color w:val="000000" w:themeColor="text1"/>
          <w:sz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w:t>
      </w:r>
      <w:r>
        <w:rPr>
          <w:rFonts w:hint="eastAsia" w:ascii="Times New Roman" w:hAnsi="Times New Roman" w:eastAsia="仿宋_GB2312" w:cs="Times New Roman"/>
          <w:color w:val="000000" w:themeColor="text1"/>
          <w:sz w:val="28"/>
          <w:lang w:val="en-US" w:eastAsia="zh-CN"/>
          <w14:textFill>
            <w14:solidFill>
              <w14:schemeClr w14:val="tx1"/>
            </w14:solidFill>
          </w14:textFill>
        </w:rPr>
        <w:t>7</w:t>
      </w:r>
      <w:r>
        <w:rPr>
          <w:rFonts w:hint="eastAsia" w:ascii="Times New Roman" w:hAnsi="Times New Roman" w:eastAsia="仿宋_GB2312" w:cs="Times New Roman"/>
          <w:color w:val="000000" w:themeColor="text1"/>
          <w:sz w:val="28"/>
          <w14:textFill>
            <w14:solidFill>
              <w14:schemeClr w14:val="tx1"/>
            </w14:solidFill>
          </w14:textFill>
        </w:rPr>
        <w:t>）</w:t>
      </w:r>
      <w:r>
        <w:rPr>
          <w:rFonts w:hint="eastAsia" w:ascii="Times New Roman" w:hAnsi="Times New Roman" w:eastAsia="仿宋_GB2312" w:cs="Times New Roman"/>
          <w:color w:val="000000" w:themeColor="text1"/>
          <w:sz w:val="28"/>
          <w:lang w:val="en-US" w:eastAsia="zh-CN"/>
          <w14:textFill>
            <w14:solidFill>
              <w14:schemeClr w14:val="tx1"/>
            </w14:solidFill>
          </w14:textFill>
        </w:rPr>
        <w:t>成本计算单的填制</w:t>
      </w:r>
    </w:p>
    <w:p>
      <w:pPr>
        <w:spacing w:line="510" w:lineRule="exact"/>
        <w:ind w:firstLine="554" w:firstLineChars="198"/>
        <w:rPr>
          <w:rFonts w:hint="default" w:ascii="Times New Roman" w:hAnsi="Times New Roman" w:eastAsia="仿宋_GB2312" w:cs="Times New Roman"/>
          <w:color w:val="000000" w:themeColor="text1"/>
          <w:sz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lang w:eastAsia="zh-CN"/>
          <w14:textFill>
            <w14:solidFill>
              <w14:schemeClr w14:val="tx1"/>
            </w14:solidFill>
          </w14:textFill>
        </w:rPr>
        <w:t>（</w:t>
      </w:r>
      <w:r>
        <w:rPr>
          <w:rFonts w:hint="eastAsia" w:ascii="Times New Roman" w:hAnsi="Times New Roman" w:eastAsia="仿宋_GB2312" w:cs="Times New Roman"/>
          <w:color w:val="000000" w:themeColor="text1"/>
          <w:sz w:val="28"/>
          <w:lang w:val="en-US" w:eastAsia="zh-CN"/>
          <w14:textFill>
            <w14:solidFill>
              <w14:schemeClr w14:val="tx1"/>
            </w14:solidFill>
          </w14:textFill>
        </w:rPr>
        <w:t>8）费用明细表的填制</w:t>
      </w:r>
    </w:p>
    <w:p>
      <w:pPr>
        <w:spacing w:line="510" w:lineRule="exact"/>
        <w:ind w:firstLine="560" w:firstLineChars="200"/>
        <w:jc w:val="left"/>
        <w:rPr>
          <w:rFonts w:hint="default" w:ascii="Times New Roman" w:hAnsi="Times New Roman" w:eastAsia="仿宋_GB2312" w:cs="Times New Roman"/>
          <w:bCs/>
          <w:color w:val="000000" w:themeColor="text1"/>
          <w:sz w:val="28"/>
          <w:lang w:val="en-US" w:eastAsia="zh-CN"/>
          <w14:textFill>
            <w14:solidFill>
              <w14:schemeClr w14:val="tx1"/>
            </w14:solidFill>
          </w14:textFill>
        </w:rPr>
      </w:pPr>
      <w:r>
        <w:rPr>
          <w:rFonts w:hint="eastAsia" w:ascii="Times New Roman" w:hAnsi="Times New Roman" w:eastAsia="仿宋_GB2312" w:cs="Times New Roman"/>
          <w:bCs/>
          <w:color w:val="000000" w:themeColor="text1"/>
          <w:sz w:val="28"/>
          <w:lang w:val="en-US" w:eastAsia="zh-CN"/>
          <w14:textFill>
            <w14:solidFill>
              <w14:schemeClr w14:val="tx1"/>
            </w14:solidFill>
          </w14:textFill>
        </w:rPr>
        <w:t>审计</w:t>
      </w:r>
      <w:r>
        <w:rPr>
          <w:rFonts w:hint="eastAsia" w:ascii="仿宋_GB2312" w:eastAsia="仿宋_GB2312" w:cs="仿宋_GB2312"/>
          <w:kern w:val="0"/>
          <w:sz w:val="28"/>
          <w:szCs w:val="28"/>
        </w:rPr>
        <w:t>基本</w:t>
      </w:r>
      <w:r>
        <w:rPr>
          <w:rFonts w:hint="eastAsia" w:ascii="仿宋_GB2312" w:eastAsia="仿宋_GB2312" w:cs="仿宋_GB2312"/>
          <w:kern w:val="0"/>
          <w:sz w:val="28"/>
          <w:szCs w:val="28"/>
          <w:lang w:val="en-US" w:eastAsia="zh-CN"/>
        </w:rPr>
        <w:t>方法运用的考核</w:t>
      </w:r>
      <w:r>
        <w:rPr>
          <w:rFonts w:hint="eastAsia" w:ascii="仿宋_GB2312" w:eastAsia="仿宋_GB2312" w:cs="仿宋_GB2312"/>
          <w:kern w:val="0"/>
          <w:sz w:val="28"/>
          <w:szCs w:val="28"/>
        </w:rPr>
        <w:t>：能熟练运用</w:t>
      </w:r>
      <w:r>
        <w:rPr>
          <w:rFonts w:hint="eastAsia" w:ascii="仿宋_GB2312" w:eastAsia="仿宋_GB2312" w:cs="仿宋_GB2312"/>
          <w:kern w:val="0"/>
          <w:sz w:val="28"/>
          <w:szCs w:val="28"/>
          <w:lang w:val="en-US" w:eastAsia="zh-CN"/>
        </w:rPr>
        <w:t>审计基本方法进行会计资料的审计。根据给出的审计案例，回答审计人员选择了哪些审计方法，这些审计方法能取得哪些审计证据，实现哪些审计目标。（客观题展示）</w:t>
      </w:r>
    </w:p>
    <w:p>
      <w:pPr>
        <w:spacing w:line="510" w:lineRule="exact"/>
        <w:ind w:firstLine="560" w:firstLineChars="200"/>
        <w:jc w:val="left"/>
        <w:rPr>
          <w:rFonts w:hint="default" w:ascii="Times New Roman" w:hAnsi="Times New Roman" w:eastAsia="仿宋_GB2312" w:cs="Times New Roman"/>
          <w:bCs/>
          <w:color w:val="000000" w:themeColor="text1"/>
          <w:sz w:val="28"/>
          <w:lang w:val="en-US" w:eastAsia="zh-CN"/>
          <w14:textFill>
            <w14:solidFill>
              <w14:schemeClr w14:val="tx1"/>
            </w14:solidFill>
          </w14:textFill>
        </w:rPr>
      </w:pPr>
      <w:r>
        <w:rPr>
          <w:rFonts w:hint="eastAsia" w:ascii="Times New Roman" w:hAnsi="Times New Roman" w:eastAsia="仿宋_GB2312" w:cs="Times New Roman"/>
          <w:bCs/>
          <w:color w:val="000000" w:themeColor="text1"/>
          <w:sz w:val="28"/>
          <w:lang w:val="en-US" w:eastAsia="zh-CN"/>
          <w14:textFill>
            <w14:solidFill>
              <w14:schemeClr w14:val="tx1"/>
            </w14:solidFill>
          </w14:textFill>
        </w:rPr>
        <w:t>2</w:t>
      </w:r>
      <w:r>
        <w:rPr>
          <w:rFonts w:hint="eastAsia" w:ascii="Times New Roman" w:hAnsi="Times New Roman" w:eastAsia="仿宋_GB2312" w:cs="Times New Roman"/>
          <w:bCs/>
          <w:color w:val="000000" w:themeColor="text1"/>
          <w:sz w:val="28"/>
          <w14:textFill>
            <w14:solidFill>
              <w14:schemeClr w14:val="tx1"/>
            </w14:solidFill>
          </w14:textFill>
        </w:rPr>
        <w:t>.</w:t>
      </w:r>
      <w:r>
        <w:rPr>
          <w:rFonts w:hint="eastAsia" w:ascii="Times New Roman" w:hAnsi="Times New Roman" w:eastAsia="仿宋_GB2312" w:cs="Times New Roman"/>
          <w:bCs/>
          <w:color w:val="000000" w:themeColor="text1"/>
          <w:sz w:val="28"/>
          <w:lang w:val="en-US" w:eastAsia="zh-CN"/>
          <w14:textFill>
            <w14:solidFill>
              <w14:schemeClr w14:val="tx1"/>
            </w14:solidFill>
          </w14:textFill>
        </w:rPr>
        <w:t>审计报告</w:t>
      </w:r>
      <w:r>
        <w:rPr>
          <w:rFonts w:hint="eastAsia" w:ascii="Times New Roman" w:hAnsi="Times New Roman" w:eastAsia="仿宋_GB2312" w:cs="Times New Roman"/>
          <w:bCs/>
          <w:color w:val="FF0000"/>
          <w:sz w:val="28"/>
          <w:lang w:val="en-US" w:eastAsia="zh-CN"/>
        </w:rPr>
        <w:t>（需要安排出题）</w:t>
      </w:r>
    </w:p>
    <w:p>
      <w:pPr>
        <w:spacing w:line="440" w:lineRule="exact"/>
        <w:ind w:firstLine="560" w:firstLineChars="200"/>
        <w:jc w:val="left"/>
        <w:rPr>
          <w:rFonts w:hint="default" w:ascii="Times New Roman" w:hAnsi="Times New Roman" w:eastAsia="仿宋_GB2312" w:cs="Times New Roman"/>
          <w:bCs/>
          <w:color w:val="000000" w:themeColor="text1"/>
          <w:sz w:val="28"/>
          <w:lang w:val="en-US" w:eastAsia="zh-CN"/>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（1）</w:t>
      </w:r>
      <w:r>
        <w:rPr>
          <w:rFonts w:hint="eastAsia" w:ascii="Times New Roman" w:hAnsi="Times New Roman" w:eastAsia="仿宋_GB2312" w:cs="Times New Roman"/>
          <w:bCs/>
          <w:color w:val="000000" w:themeColor="text1"/>
          <w:sz w:val="28"/>
          <w:lang w:val="en-US" w:eastAsia="zh-CN"/>
          <w14:textFill>
            <w14:solidFill>
              <w14:schemeClr w14:val="tx1"/>
            </w14:solidFill>
          </w14:textFill>
        </w:rPr>
        <w:t>标准无保留意见审计报告</w:t>
      </w:r>
    </w:p>
    <w:p>
      <w:pPr>
        <w:spacing w:line="440" w:lineRule="exact"/>
        <w:ind w:firstLine="560" w:firstLineChars="200"/>
        <w:jc w:val="left"/>
        <w:rPr>
          <w:rFonts w:hint="default" w:ascii="Times New Roman" w:hAnsi="Times New Roman" w:eastAsia="仿宋_GB2312" w:cs="Times New Roman"/>
          <w:bCs/>
          <w:color w:val="000000" w:themeColor="text1"/>
          <w:sz w:val="28"/>
          <w:lang w:val="en-US" w:eastAsia="zh-CN"/>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（2）</w:t>
      </w:r>
      <w:r>
        <w:rPr>
          <w:rFonts w:hint="eastAsia" w:ascii="Times New Roman" w:hAnsi="Times New Roman" w:eastAsia="仿宋_GB2312" w:cs="Times New Roman"/>
          <w:bCs/>
          <w:color w:val="000000" w:themeColor="text1"/>
          <w:sz w:val="28"/>
          <w:lang w:val="en-US" w:eastAsia="zh-CN"/>
          <w14:textFill>
            <w14:solidFill>
              <w14:schemeClr w14:val="tx1"/>
            </w14:solidFill>
          </w14:textFill>
        </w:rPr>
        <w:t>保留意见审计报告</w:t>
      </w:r>
    </w:p>
    <w:p>
      <w:pPr>
        <w:spacing w:line="440" w:lineRule="exact"/>
        <w:ind w:firstLine="560" w:firstLineChars="200"/>
        <w:jc w:val="left"/>
        <w:rPr>
          <w:rFonts w:hint="eastAsia" w:ascii="Times New Roman" w:hAnsi="Times New Roman" w:eastAsia="仿宋_GB2312" w:cs="Times New Roman"/>
          <w:bCs/>
          <w:color w:val="000000" w:themeColor="text1"/>
          <w:sz w:val="28"/>
          <w:lang w:val="en-US" w:eastAsia="zh-CN"/>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（3）</w:t>
      </w:r>
      <w:r>
        <w:rPr>
          <w:rFonts w:hint="eastAsia" w:ascii="Times New Roman" w:hAnsi="Times New Roman" w:eastAsia="仿宋_GB2312" w:cs="Times New Roman"/>
          <w:bCs/>
          <w:color w:val="000000" w:themeColor="text1"/>
          <w:sz w:val="28"/>
          <w:lang w:val="en-US" w:eastAsia="zh-CN"/>
          <w14:textFill>
            <w14:solidFill>
              <w14:schemeClr w14:val="tx1"/>
            </w14:solidFill>
          </w14:textFill>
        </w:rPr>
        <w:t>拒绝表示意见审计</w:t>
      </w:r>
    </w:p>
    <w:p>
      <w:pPr>
        <w:spacing w:line="440" w:lineRule="exact"/>
        <w:ind w:firstLine="560" w:firstLineChars="200"/>
        <w:jc w:val="left"/>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（4）</w:t>
      </w:r>
      <w:r>
        <w:rPr>
          <w:rFonts w:hint="eastAsia" w:ascii="Times New Roman" w:hAnsi="Times New Roman" w:eastAsia="仿宋_GB2312" w:cs="Times New Roman"/>
          <w:bCs/>
          <w:color w:val="000000" w:themeColor="text1"/>
          <w:sz w:val="28"/>
          <w:lang w:val="en-US" w:eastAsia="zh-CN"/>
          <w14:textFill>
            <w14:solidFill>
              <w14:schemeClr w14:val="tx1"/>
            </w14:solidFill>
          </w14:textFill>
        </w:rPr>
        <w:t>否定意见审计报告</w:t>
      </w:r>
    </w:p>
    <w:p>
      <w:pPr>
        <w:numPr>
          <w:ilvl w:val="0"/>
          <w:numId w:val="3"/>
        </w:numPr>
        <w:autoSpaceDE w:val="0"/>
        <w:autoSpaceDN w:val="0"/>
        <w:adjustRightInd w:val="0"/>
        <w:ind w:firstLine="560" w:firstLineChars="200"/>
        <w:jc w:val="left"/>
        <w:rPr>
          <w:rFonts w:hint="eastAsia" w:ascii="黑体" w:eastAsia="黑体" w:cs="黑体"/>
          <w:kern w:val="0"/>
          <w:sz w:val="28"/>
          <w:szCs w:val="28"/>
        </w:rPr>
      </w:pPr>
      <w:r>
        <w:rPr>
          <w:rFonts w:hint="eastAsia" w:ascii="黑体" w:eastAsia="黑体" w:cs="黑体"/>
          <w:kern w:val="0"/>
          <w:sz w:val="28"/>
          <w:szCs w:val="28"/>
        </w:rPr>
        <w:t>评价标准</w:t>
      </w:r>
    </w:p>
    <w:tbl>
      <w:tblPr>
        <w:tblStyle w:val="5"/>
        <w:tblW w:w="8535" w:type="dxa"/>
        <w:tblInd w:w="113" w:type="dxa"/>
        <w:tblLayout w:type="fixed"/>
        <w:tblCellMar>
          <w:top w:w="0" w:type="dxa"/>
          <w:left w:w="108" w:type="dxa"/>
          <w:bottom w:w="0" w:type="dxa"/>
          <w:right w:w="108" w:type="dxa"/>
        </w:tblCellMar>
      </w:tblPr>
      <w:tblGrid>
        <w:gridCol w:w="640"/>
        <w:gridCol w:w="880"/>
        <w:gridCol w:w="1021"/>
        <w:gridCol w:w="1021"/>
        <w:gridCol w:w="666"/>
        <w:gridCol w:w="1725"/>
        <w:gridCol w:w="2582"/>
      </w:tblGrid>
      <w:tr>
        <w:tblPrEx>
          <w:tblCellMar>
            <w:top w:w="0" w:type="dxa"/>
            <w:left w:w="108" w:type="dxa"/>
            <w:bottom w:w="0" w:type="dxa"/>
            <w:right w:w="108" w:type="dxa"/>
          </w:tblCellMar>
        </w:tblPrEx>
        <w:trPr>
          <w:trHeight w:val="27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eastAsia="仿宋_GB2312" w:cs="Times New Roman"/>
                <w:sz w:val="28"/>
              </w:rPr>
              <w:br w:type="page"/>
            </w:r>
            <w:r>
              <w:rPr>
                <w:rFonts w:ascii="Times New Roman" w:hAnsi="Times New Roman" w:cs="Times New Roman"/>
                <w:color w:val="000000"/>
                <w:kern w:val="0"/>
                <w:szCs w:val="21"/>
              </w:rPr>
              <w:t>序号</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类型</w:t>
            </w:r>
          </w:p>
        </w:tc>
        <w:tc>
          <w:tcPr>
            <w:tcW w:w="2042"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模块</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分值</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项目</w:t>
            </w:r>
          </w:p>
        </w:tc>
        <w:tc>
          <w:tcPr>
            <w:tcW w:w="25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评价要点</w:t>
            </w:r>
          </w:p>
        </w:tc>
      </w:tr>
      <w:tr>
        <w:tblPrEx>
          <w:tblCellMar>
            <w:top w:w="0" w:type="dxa"/>
            <w:left w:w="108" w:type="dxa"/>
            <w:bottom w:w="0" w:type="dxa"/>
            <w:right w:w="108" w:type="dxa"/>
          </w:tblCellMar>
        </w:tblPrEx>
        <w:trPr>
          <w:trHeight w:val="270" w:hRule="atLeast"/>
        </w:trPr>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1</w:t>
            </w:r>
          </w:p>
        </w:tc>
        <w:tc>
          <w:tcPr>
            <w:tcW w:w="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专业基本技能</w:t>
            </w:r>
          </w:p>
        </w:tc>
        <w:tc>
          <w:tcPr>
            <w:tcW w:w="20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职业</w:t>
            </w:r>
            <w:r>
              <w:rPr>
                <w:rFonts w:hint="eastAsia" w:ascii="Times New Roman" w:hAnsi="Times New Roman" w:eastAsia="仿宋_GB2312" w:cs="Times New Roman"/>
                <w:szCs w:val="21"/>
              </w:rPr>
              <w:t>基本素养</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5</w:t>
            </w:r>
            <w:r>
              <w:rPr>
                <w:rFonts w:ascii="Times New Roman" w:hAnsi="Times New Roman" w:eastAsia="仿宋_GB2312" w:cs="Times New Roman"/>
                <w:szCs w:val="21"/>
              </w:rPr>
              <w:t>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职业判断</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hint="eastAsia" w:ascii="Times New Roman" w:hAnsi="Times New Roman" w:eastAsia="仿宋_GB2312" w:cs="Times New Roman"/>
                <w:szCs w:val="21"/>
              </w:rPr>
              <w:t>以财政部2019年3月14日颁布的《会计基础工作规范》为技能考核点（客观题）</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widowControl/>
              <w:jc w:val="center"/>
              <w:rPr>
                <w:rFonts w:ascii="Times New Roman" w:hAnsi="Times New Roman" w:eastAsia="仿宋_GB2312" w:cs="Times New Roman"/>
                <w:szCs w:val="21"/>
              </w:rPr>
            </w:pPr>
          </w:p>
        </w:tc>
        <w:tc>
          <w:tcPr>
            <w:tcW w:w="204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原始凭证的填制</w:t>
            </w:r>
            <w:r>
              <w:rPr>
                <w:rFonts w:hint="eastAsia" w:ascii="Times New Roman" w:hAnsi="Times New Roman" w:eastAsia="仿宋_GB2312" w:cs="Times New Roman"/>
                <w:szCs w:val="21"/>
              </w:rPr>
              <w:t>（</w:t>
            </w:r>
            <w:r>
              <w:rPr>
                <w:rFonts w:hint="eastAsia" w:ascii="Times New Roman" w:hAnsi="Times New Roman" w:eastAsia="仿宋_GB2312" w:cs="Times New Roman"/>
                <w:szCs w:val="21"/>
                <w:lang w:val="en-US" w:eastAsia="zh-CN"/>
              </w:rPr>
              <w:t>7个案例任选3</w:t>
            </w:r>
            <w:r>
              <w:rPr>
                <w:rFonts w:hint="eastAsia" w:ascii="Times New Roman" w:hAnsi="Times New Roman" w:eastAsia="仿宋_GB2312" w:cs="Times New Roman"/>
                <w:szCs w:val="21"/>
              </w:rPr>
              <w:t>个案例题型）</w:t>
            </w:r>
          </w:p>
        </w:tc>
        <w:tc>
          <w:tcPr>
            <w:tcW w:w="6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3</w:t>
            </w:r>
            <w:r>
              <w:rPr>
                <w:rFonts w:ascii="Times New Roman" w:hAnsi="Times New Roman" w:eastAsia="仿宋_GB2312" w:cs="Times New Roman"/>
                <w:szCs w:val="21"/>
              </w:rPr>
              <w:t>0分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支票填制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要求支票基本要素填写齐全、正确，无涂改现象。</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0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销售发票填制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要求发票基本要素填写齐全、正确，无涂改现象。</w:t>
            </w:r>
          </w:p>
        </w:tc>
      </w:tr>
      <w:tr>
        <w:tblPrEx>
          <w:tblCellMar>
            <w:top w:w="0" w:type="dxa"/>
            <w:left w:w="108" w:type="dxa"/>
            <w:bottom w:w="0" w:type="dxa"/>
            <w:right w:w="108" w:type="dxa"/>
          </w:tblCellMar>
        </w:tblPrEx>
        <w:trPr>
          <w:trHeight w:val="51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0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借支单填制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要求借支单基本要素填写齐全、正确，无涂改现象。</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0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银行进账单填制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要求银行进账单基本要素填写齐全、正确，无涂改现象。</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0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收款收据填制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要求收款收据基本要素填写齐全、正确，无涂改现象。</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0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lang w:eastAsia="zh-CN"/>
              </w:rPr>
              <w:t>差旅费报销单填制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要求基本要素填写齐全、正确，无涂改现象。</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0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银行存款余额调节表的编制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要求</w:t>
            </w:r>
            <w:r>
              <w:rPr>
                <w:rFonts w:hint="eastAsia" w:ascii="Times New Roman" w:hAnsi="Times New Roman" w:eastAsia="仿宋_GB2312" w:cs="Times New Roman"/>
                <w:szCs w:val="21"/>
              </w:rPr>
              <w:t>各</w:t>
            </w:r>
            <w:r>
              <w:rPr>
                <w:rFonts w:ascii="Times New Roman" w:hAnsi="Times New Roman" w:eastAsia="仿宋_GB2312" w:cs="Times New Roman"/>
                <w:szCs w:val="21"/>
              </w:rPr>
              <w:t>基本要素填写齐全</w:t>
            </w:r>
            <w:r>
              <w:rPr>
                <w:rFonts w:hint="eastAsia" w:ascii="Times New Roman" w:hAnsi="Times New Roman" w:eastAsia="仿宋_GB2312" w:cs="Times New Roman"/>
                <w:szCs w:val="21"/>
              </w:rPr>
              <w:t>，各项目金额填写</w:t>
            </w:r>
            <w:r>
              <w:rPr>
                <w:rFonts w:ascii="Times New Roman" w:hAnsi="Times New Roman" w:eastAsia="仿宋_GB2312" w:cs="Times New Roman"/>
                <w:szCs w:val="21"/>
              </w:rPr>
              <w:t>正确，</w:t>
            </w:r>
            <w:r>
              <w:rPr>
                <w:rFonts w:hint="eastAsia" w:ascii="Times New Roman" w:hAnsi="Times New Roman" w:eastAsia="仿宋_GB2312" w:cs="Times New Roman"/>
                <w:szCs w:val="21"/>
              </w:rPr>
              <w:t>计算结果正确</w:t>
            </w:r>
            <w:r>
              <w:rPr>
                <w:rFonts w:ascii="Times New Roman" w:hAnsi="Times New Roman" w:eastAsia="仿宋_GB2312" w:cs="Times New Roman"/>
                <w:szCs w:val="21"/>
              </w:rPr>
              <w:t>。</w:t>
            </w:r>
          </w:p>
        </w:tc>
      </w:tr>
      <w:tr>
        <w:tblPrEx>
          <w:tblCellMar>
            <w:top w:w="0" w:type="dxa"/>
            <w:left w:w="108" w:type="dxa"/>
            <w:bottom w:w="0" w:type="dxa"/>
            <w:right w:w="108" w:type="dxa"/>
          </w:tblCellMar>
        </w:tblPrEx>
        <w:trPr>
          <w:trHeight w:val="540" w:hRule="atLeast"/>
        </w:trPr>
        <w:tc>
          <w:tcPr>
            <w:tcW w:w="6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2</w:t>
            </w:r>
          </w:p>
        </w:tc>
        <w:tc>
          <w:tcPr>
            <w:tcW w:w="8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岗位核心能力</w:t>
            </w:r>
          </w:p>
        </w:tc>
        <w:tc>
          <w:tcPr>
            <w:tcW w:w="20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记账凭证的填制与审核</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40</w:t>
            </w:r>
            <w:r>
              <w:rPr>
                <w:rFonts w:ascii="Times New Roman" w:hAnsi="Times New Roman" w:eastAsia="仿宋_GB2312" w:cs="Times New Roman"/>
                <w:szCs w:val="21"/>
              </w:rPr>
              <w:t>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szCs w:val="21"/>
                <w:lang w:eastAsia="zh-CN"/>
              </w:rPr>
            </w:pPr>
            <w:r>
              <w:rPr>
                <w:rFonts w:ascii="Times New Roman" w:hAnsi="Times New Roman" w:eastAsia="仿宋_GB2312" w:cs="Times New Roman"/>
                <w:szCs w:val="21"/>
              </w:rPr>
              <w:t>记账凭证填制与审核</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记账凭证基本要素填写齐全、金额正确，业务分录正确，凭证无涂改。</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04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数据查询</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4</w:t>
            </w:r>
            <w:r>
              <w:rPr>
                <w:rFonts w:hint="eastAsia" w:ascii="Times New Roman" w:hAnsi="Times New Roman" w:eastAsia="仿宋_GB2312" w:cs="Times New Roman"/>
                <w:szCs w:val="21"/>
              </w:rPr>
              <w:t>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账簿的查询与输出</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按要求输出指定的账簿并保存到指定位置。</w:t>
            </w:r>
          </w:p>
        </w:tc>
      </w:tr>
      <w:tr>
        <w:tblPrEx>
          <w:tblCellMar>
            <w:top w:w="0" w:type="dxa"/>
            <w:left w:w="108" w:type="dxa"/>
            <w:bottom w:w="0" w:type="dxa"/>
            <w:right w:w="108" w:type="dxa"/>
          </w:tblCellMar>
        </w:tblPrEx>
        <w:trPr>
          <w:trHeight w:val="765" w:hRule="atLeast"/>
        </w:trPr>
        <w:tc>
          <w:tcPr>
            <w:tcW w:w="6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highlight w:val="yellow"/>
              </w:rPr>
            </w:pPr>
          </w:p>
        </w:tc>
        <w:tc>
          <w:tcPr>
            <w:tcW w:w="204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资产负债表、利润表、增值税纳税申报表的编制</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6</w:t>
            </w:r>
            <w:r>
              <w:rPr>
                <w:rFonts w:hint="eastAsia" w:ascii="Times New Roman" w:hAnsi="Times New Roman" w:eastAsia="仿宋_GB2312" w:cs="Times New Roman"/>
                <w:szCs w:val="21"/>
              </w:rPr>
              <w:t>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资产负债表、利润表、增值税纳税申报表的编制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按要求填写</w:t>
            </w:r>
            <w:r>
              <w:rPr>
                <w:rFonts w:hint="eastAsia" w:ascii="Times New Roman" w:hAnsi="Times New Roman" w:eastAsia="仿宋_GB2312" w:cs="Times New Roman"/>
                <w:szCs w:val="21"/>
              </w:rPr>
              <w:t>资产负债表、利润表、增值税纳税申报表</w:t>
            </w:r>
            <w:r>
              <w:rPr>
                <w:rFonts w:hint="eastAsia" w:ascii="Times New Roman" w:hAnsi="Times New Roman" w:eastAsia="仿宋_GB2312" w:cs="Times New Roman"/>
                <w:szCs w:val="21"/>
                <w:lang w:eastAsia="zh-CN"/>
              </w:rPr>
              <w:t>的项目到指定位置。</w:t>
            </w:r>
          </w:p>
        </w:tc>
      </w:tr>
      <w:tr>
        <w:tblPrEx>
          <w:tblCellMar>
            <w:top w:w="0" w:type="dxa"/>
            <w:left w:w="108" w:type="dxa"/>
            <w:bottom w:w="0" w:type="dxa"/>
            <w:right w:w="108" w:type="dxa"/>
          </w:tblCellMar>
        </w:tblPrEx>
        <w:trPr>
          <w:trHeight w:val="540" w:hRule="atLeast"/>
        </w:trPr>
        <w:tc>
          <w:tcPr>
            <w:tcW w:w="640" w:type="dxa"/>
            <w:vMerge w:val="restart"/>
            <w:tcBorders>
              <w:top w:val="single" w:color="auto" w:sz="4" w:space="0"/>
              <w:left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3</w:t>
            </w:r>
          </w:p>
        </w:tc>
        <w:tc>
          <w:tcPr>
            <w:tcW w:w="880" w:type="dxa"/>
            <w:vMerge w:val="restart"/>
            <w:tcBorders>
              <w:top w:val="single" w:color="auto" w:sz="4" w:space="0"/>
              <w:left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岗位拓展能力</w:t>
            </w:r>
          </w:p>
        </w:tc>
        <w:tc>
          <w:tcPr>
            <w:tcW w:w="1021" w:type="dxa"/>
            <w:vMerge w:val="restart"/>
            <w:tcBorders>
              <w:top w:val="single" w:color="auto" w:sz="4" w:space="0"/>
              <w:left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子模块（</w:t>
            </w:r>
            <w:r>
              <w:rPr>
                <w:rFonts w:hint="eastAsia" w:ascii="Times New Roman" w:hAnsi="Times New Roman" w:eastAsia="仿宋_GB2312" w:cs="Times New Roman"/>
                <w:szCs w:val="21"/>
                <w:lang w:eastAsia="zh-CN"/>
              </w:rPr>
              <w:t>两</w:t>
            </w:r>
            <w:r>
              <w:rPr>
                <w:rFonts w:hint="eastAsia" w:ascii="Times New Roman" w:hAnsi="Times New Roman" w:eastAsia="仿宋_GB2312" w:cs="Times New Roman"/>
                <w:szCs w:val="21"/>
              </w:rPr>
              <w:t>个项目任选一个）</w:t>
            </w:r>
          </w:p>
        </w:tc>
        <w:tc>
          <w:tcPr>
            <w:tcW w:w="1021"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审计工作底稿</w:t>
            </w:r>
            <w:r>
              <w:rPr>
                <w:rFonts w:ascii="Times New Roman" w:hAnsi="Times New Roman" w:eastAsia="仿宋_GB2312" w:cs="Times New Roman"/>
                <w:szCs w:val="21"/>
              </w:rPr>
              <w:t>的填制</w:t>
            </w:r>
            <w:r>
              <w:rPr>
                <w:rFonts w:hint="eastAsia" w:ascii="Times New Roman" w:hAnsi="Times New Roman" w:eastAsia="仿宋_GB2312" w:cs="Times New Roman"/>
                <w:szCs w:val="21"/>
                <w:lang w:eastAsia="zh-CN"/>
              </w:rPr>
              <w:t>及</w:t>
            </w:r>
            <w:r>
              <w:rPr>
                <w:rFonts w:hint="eastAsia" w:ascii="Times New Roman" w:hAnsi="Times New Roman" w:eastAsia="仿宋_GB2312" w:cs="Times New Roman"/>
                <w:szCs w:val="21"/>
                <w:lang w:val="en-US" w:eastAsia="zh-CN"/>
              </w:rPr>
              <w:t>审计</w:t>
            </w:r>
            <w:r>
              <w:rPr>
                <w:rFonts w:hint="eastAsia" w:ascii="Times New Roman" w:hAnsi="Times New Roman" w:eastAsia="仿宋_GB2312" w:cs="Times New Roman"/>
                <w:szCs w:val="21"/>
              </w:rPr>
              <w:t>基本</w:t>
            </w:r>
            <w:r>
              <w:rPr>
                <w:rFonts w:hint="eastAsia" w:ascii="Times New Roman" w:hAnsi="Times New Roman" w:eastAsia="仿宋_GB2312" w:cs="Times New Roman"/>
                <w:szCs w:val="21"/>
                <w:lang w:val="en-US" w:eastAsia="zh-CN"/>
              </w:rPr>
              <w:t>方法运用</w:t>
            </w:r>
            <w:r>
              <w:rPr>
                <w:rFonts w:hint="eastAsia" w:ascii="Times New Roman" w:hAnsi="Times New Roman" w:eastAsia="仿宋_GB2312" w:cs="Times New Roman"/>
                <w:szCs w:val="21"/>
              </w:rPr>
              <w:t>（</w:t>
            </w:r>
            <w:r>
              <w:rPr>
                <w:rFonts w:hint="eastAsia" w:ascii="Times New Roman" w:hAnsi="Times New Roman" w:eastAsia="仿宋_GB2312" w:cs="Times New Roman"/>
                <w:szCs w:val="21"/>
                <w:lang w:val="en-US" w:eastAsia="zh-CN"/>
              </w:rPr>
              <w:t>审计工作底稿</w:t>
            </w:r>
            <w:r>
              <w:rPr>
                <w:rFonts w:ascii="Times New Roman" w:hAnsi="Times New Roman" w:eastAsia="仿宋_GB2312" w:cs="Times New Roman"/>
                <w:szCs w:val="21"/>
              </w:rPr>
              <w:t>的填制</w:t>
            </w:r>
            <w:r>
              <w:rPr>
                <w:rFonts w:hint="eastAsia" w:ascii="Times New Roman" w:hAnsi="Times New Roman" w:eastAsia="仿宋_GB2312" w:cs="Times New Roman"/>
                <w:szCs w:val="21"/>
                <w:lang w:val="en-US" w:eastAsia="zh-CN"/>
              </w:rPr>
              <w:t>8个案例任选2</w:t>
            </w:r>
            <w:r>
              <w:rPr>
                <w:rFonts w:hint="eastAsia" w:ascii="Times New Roman" w:hAnsi="Times New Roman" w:eastAsia="仿宋_GB2312" w:cs="Times New Roman"/>
                <w:szCs w:val="21"/>
              </w:rPr>
              <w:t>个案例题型</w:t>
            </w:r>
            <w:r>
              <w:rPr>
                <w:rFonts w:hint="eastAsia" w:ascii="Times New Roman" w:hAnsi="Times New Roman" w:eastAsia="仿宋_GB2312" w:cs="Times New Roman"/>
                <w:szCs w:val="21"/>
                <w:lang w:eastAsia="zh-CN"/>
              </w:rPr>
              <w:t>，</w:t>
            </w:r>
            <w:r>
              <w:rPr>
                <w:rFonts w:hint="eastAsia" w:ascii="Times New Roman" w:hAnsi="Times New Roman" w:eastAsia="仿宋_GB2312" w:cs="Times New Roman"/>
                <w:szCs w:val="21"/>
                <w:lang w:val="en-US" w:eastAsia="zh-CN"/>
              </w:rPr>
              <w:t>审计</w:t>
            </w:r>
            <w:r>
              <w:rPr>
                <w:rFonts w:hint="eastAsia" w:ascii="Times New Roman" w:hAnsi="Times New Roman" w:eastAsia="仿宋_GB2312" w:cs="Times New Roman"/>
                <w:szCs w:val="21"/>
              </w:rPr>
              <w:t>基本</w:t>
            </w:r>
            <w:r>
              <w:rPr>
                <w:rFonts w:hint="eastAsia" w:ascii="Times New Roman" w:hAnsi="Times New Roman" w:eastAsia="仿宋_GB2312" w:cs="Times New Roman"/>
                <w:szCs w:val="21"/>
                <w:lang w:val="en-US" w:eastAsia="zh-CN"/>
              </w:rPr>
              <w:t>方法运用任选1个题目</w:t>
            </w:r>
            <w:r>
              <w:rPr>
                <w:rFonts w:hint="eastAsia" w:ascii="Times New Roman" w:hAnsi="Times New Roman" w:eastAsia="仿宋_GB2312" w:cs="Times New Roman"/>
                <w:szCs w:val="21"/>
              </w:rPr>
              <w:t>）</w:t>
            </w:r>
          </w:p>
        </w:tc>
        <w:tc>
          <w:tcPr>
            <w:tcW w:w="666"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ascii="Times New Roman" w:hAnsi="Times New Roman" w:eastAsia="仿宋_GB2312" w:cs="Times New Roman"/>
                <w:szCs w:val="21"/>
              </w:rPr>
              <w:t>0分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现金盘点表的编制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要求正确</w:t>
            </w:r>
            <w:r>
              <w:rPr>
                <w:rFonts w:hint="eastAsia" w:ascii="Times New Roman" w:hAnsi="Times New Roman" w:eastAsia="仿宋_GB2312" w:cs="Times New Roman"/>
                <w:szCs w:val="21"/>
                <w:lang w:val="en-US" w:eastAsia="zh-CN"/>
              </w:rPr>
              <w:t>填写库存现金盘点表的各要素，正确计算应存款、实存款、应存与实存的差异</w:t>
            </w:r>
            <w:r>
              <w:rPr>
                <w:rFonts w:ascii="Times New Roman" w:hAnsi="Times New Roman" w:eastAsia="仿宋_GB2312" w:cs="Times New Roman"/>
                <w:szCs w:val="21"/>
              </w:rPr>
              <w:t>，无涂改现象。</w:t>
            </w:r>
          </w:p>
        </w:tc>
      </w:tr>
      <w:tr>
        <w:tblPrEx>
          <w:tblCellMar>
            <w:top w:w="0" w:type="dxa"/>
            <w:left w:w="108" w:type="dxa"/>
            <w:bottom w:w="0" w:type="dxa"/>
            <w:right w:w="108" w:type="dxa"/>
          </w:tblCellMar>
        </w:tblPrEx>
        <w:trPr>
          <w:trHeight w:val="540" w:hRule="atLeast"/>
        </w:trPr>
        <w:tc>
          <w:tcPr>
            <w:tcW w:w="640"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666"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应收账款明细表</w:t>
            </w:r>
            <w:r>
              <w:rPr>
                <w:rFonts w:ascii="Times New Roman" w:hAnsi="Times New Roman" w:eastAsia="仿宋_GB2312" w:cs="Times New Roman"/>
                <w:szCs w:val="21"/>
              </w:rPr>
              <w:t>的填</w:t>
            </w:r>
            <w:r>
              <w:rPr>
                <w:rFonts w:hint="eastAsia" w:ascii="Times New Roman" w:hAnsi="Times New Roman" w:eastAsia="仿宋_GB2312" w:cs="Times New Roman"/>
                <w:szCs w:val="21"/>
                <w:lang w:val="en-US" w:eastAsia="zh-CN"/>
              </w:rPr>
              <w:t>列</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要求</w:t>
            </w:r>
            <w:r>
              <w:rPr>
                <w:rFonts w:hint="eastAsia" w:ascii="Times New Roman" w:hAnsi="Times New Roman" w:eastAsia="仿宋_GB2312" w:cs="Times New Roman"/>
                <w:szCs w:val="21"/>
                <w:lang w:val="en-US" w:eastAsia="zh-CN"/>
              </w:rPr>
              <w:t>正确填写应收账款明细表的</w:t>
            </w:r>
            <w:r>
              <w:rPr>
                <w:rFonts w:ascii="Times New Roman" w:hAnsi="Times New Roman" w:eastAsia="仿宋_GB2312" w:cs="Times New Roman"/>
                <w:szCs w:val="21"/>
              </w:rPr>
              <w:t>基本要素填写齐全、正确，</w:t>
            </w:r>
            <w:r>
              <w:rPr>
                <w:rFonts w:hint="eastAsia" w:ascii="Times New Roman" w:hAnsi="Times New Roman" w:eastAsia="仿宋_GB2312" w:cs="Times New Roman"/>
                <w:szCs w:val="21"/>
                <w:lang w:val="en-US" w:eastAsia="zh-CN"/>
              </w:rPr>
              <w:t>各项金额的计算</w:t>
            </w:r>
            <w:r>
              <w:rPr>
                <w:rFonts w:ascii="Times New Roman" w:hAnsi="Times New Roman" w:eastAsia="仿宋_GB2312" w:cs="Times New Roman"/>
                <w:szCs w:val="21"/>
              </w:rPr>
              <w:t>无涂改现象。</w:t>
            </w:r>
          </w:p>
        </w:tc>
      </w:tr>
      <w:tr>
        <w:tblPrEx>
          <w:tblCellMar>
            <w:top w:w="0" w:type="dxa"/>
            <w:left w:w="108" w:type="dxa"/>
            <w:bottom w:w="0" w:type="dxa"/>
            <w:right w:w="108" w:type="dxa"/>
          </w:tblCellMar>
        </w:tblPrEx>
        <w:trPr>
          <w:trHeight w:val="540" w:hRule="atLeast"/>
        </w:trPr>
        <w:tc>
          <w:tcPr>
            <w:tcW w:w="640"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szCs w:val="21"/>
                <w:lang w:val="en-US" w:eastAsia="zh-CN"/>
              </w:rPr>
            </w:pPr>
          </w:p>
        </w:tc>
        <w:tc>
          <w:tcPr>
            <w:tcW w:w="666"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应收账款账龄分析表的填制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szCs w:val="21"/>
                <w:lang w:val="en-US" w:eastAsia="zh-CN"/>
              </w:rPr>
            </w:pPr>
            <w:r>
              <w:rPr>
                <w:rFonts w:ascii="Times New Roman" w:hAnsi="Times New Roman" w:eastAsia="仿宋_GB2312" w:cs="Times New Roman"/>
                <w:szCs w:val="21"/>
              </w:rPr>
              <w:t>要求</w:t>
            </w:r>
            <w:r>
              <w:rPr>
                <w:rFonts w:hint="eastAsia" w:ascii="Times New Roman" w:hAnsi="Times New Roman" w:eastAsia="仿宋_GB2312" w:cs="Times New Roman"/>
                <w:szCs w:val="21"/>
                <w:lang w:val="en-US" w:eastAsia="zh-CN"/>
              </w:rPr>
              <w:t>正确填写应收账款账龄分析表的</w:t>
            </w:r>
            <w:r>
              <w:rPr>
                <w:rFonts w:ascii="Times New Roman" w:hAnsi="Times New Roman" w:eastAsia="仿宋_GB2312" w:cs="Times New Roman"/>
                <w:szCs w:val="21"/>
              </w:rPr>
              <w:t>基本要素填写齐全、正确，</w:t>
            </w:r>
            <w:r>
              <w:rPr>
                <w:rFonts w:hint="eastAsia" w:ascii="Times New Roman" w:hAnsi="Times New Roman" w:eastAsia="仿宋_GB2312" w:cs="Times New Roman"/>
                <w:szCs w:val="21"/>
                <w:lang w:val="en-US" w:eastAsia="zh-CN"/>
              </w:rPr>
              <w:t>各项金额的计算</w:t>
            </w:r>
            <w:r>
              <w:rPr>
                <w:rFonts w:ascii="Times New Roman" w:hAnsi="Times New Roman" w:eastAsia="仿宋_GB2312" w:cs="Times New Roman"/>
                <w:szCs w:val="21"/>
              </w:rPr>
              <w:t>无涂改现象。</w:t>
            </w:r>
          </w:p>
        </w:tc>
      </w:tr>
      <w:tr>
        <w:tblPrEx>
          <w:tblCellMar>
            <w:top w:w="0" w:type="dxa"/>
            <w:left w:w="108" w:type="dxa"/>
            <w:bottom w:w="0" w:type="dxa"/>
            <w:right w:w="108" w:type="dxa"/>
          </w:tblCellMar>
        </w:tblPrEx>
        <w:trPr>
          <w:trHeight w:val="540" w:hRule="atLeast"/>
        </w:trPr>
        <w:tc>
          <w:tcPr>
            <w:tcW w:w="640"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szCs w:val="21"/>
                <w:lang w:val="en-US" w:eastAsia="zh-CN"/>
              </w:rPr>
            </w:pPr>
          </w:p>
        </w:tc>
        <w:tc>
          <w:tcPr>
            <w:tcW w:w="666"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固定资产明细表的填开</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要求</w:t>
            </w:r>
            <w:r>
              <w:rPr>
                <w:rFonts w:hint="eastAsia" w:ascii="Times New Roman" w:hAnsi="Times New Roman" w:eastAsia="仿宋_GB2312" w:cs="Times New Roman"/>
                <w:szCs w:val="21"/>
                <w:lang w:val="en-US" w:eastAsia="zh-CN"/>
              </w:rPr>
              <w:t>正确填写固定资产明细表的</w:t>
            </w:r>
            <w:r>
              <w:rPr>
                <w:rFonts w:ascii="Times New Roman" w:hAnsi="Times New Roman" w:eastAsia="仿宋_GB2312" w:cs="Times New Roman"/>
                <w:szCs w:val="21"/>
              </w:rPr>
              <w:t>基本要素填写齐全、正确，</w:t>
            </w:r>
            <w:r>
              <w:rPr>
                <w:rFonts w:hint="eastAsia" w:ascii="Times New Roman" w:hAnsi="Times New Roman" w:eastAsia="仿宋_GB2312" w:cs="Times New Roman"/>
                <w:szCs w:val="21"/>
                <w:lang w:val="en-US" w:eastAsia="zh-CN"/>
              </w:rPr>
              <w:t>各项金额的计算</w:t>
            </w:r>
            <w:r>
              <w:rPr>
                <w:rFonts w:ascii="Times New Roman" w:hAnsi="Times New Roman" w:eastAsia="仿宋_GB2312" w:cs="Times New Roman"/>
                <w:szCs w:val="21"/>
              </w:rPr>
              <w:t>无涂改现象。</w:t>
            </w:r>
          </w:p>
        </w:tc>
      </w:tr>
      <w:tr>
        <w:tblPrEx>
          <w:tblCellMar>
            <w:top w:w="0" w:type="dxa"/>
            <w:left w:w="108" w:type="dxa"/>
            <w:bottom w:w="0" w:type="dxa"/>
            <w:right w:w="108" w:type="dxa"/>
          </w:tblCellMar>
        </w:tblPrEx>
        <w:trPr>
          <w:trHeight w:val="540" w:hRule="atLeast"/>
        </w:trPr>
        <w:tc>
          <w:tcPr>
            <w:tcW w:w="640"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szCs w:val="21"/>
                <w:lang w:val="en-US" w:eastAsia="zh-CN"/>
              </w:rPr>
            </w:pPr>
          </w:p>
        </w:tc>
        <w:tc>
          <w:tcPr>
            <w:tcW w:w="666"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存货盘点表的填列</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要求</w:t>
            </w:r>
            <w:r>
              <w:rPr>
                <w:rFonts w:hint="eastAsia" w:ascii="Times New Roman" w:hAnsi="Times New Roman" w:eastAsia="仿宋_GB2312" w:cs="Times New Roman"/>
                <w:szCs w:val="21"/>
                <w:lang w:val="en-US" w:eastAsia="zh-CN"/>
              </w:rPr>
              <w:t>正确填写存货盘点表的</w:t>
            </w:r>
            <w:r>
              <w:rPr>
                <w:rFonts w:ascii="Times New Roman" w:hAnsi="Times New Roman" w:eastAsia="仿宋_GB2312" w:cs="Times New Roman"/>
                <w:szCs w:val="21"/>
              </w:rPr>
              <w:t>基本要素填写齐全、正确，</w:t>
            </w:r>
            <w:r>
              <w:rPr>
                <w:rFonts w:hint="eastAsia" w:ascii="Times New Roman" w:hAnsi="Times New Roman" w:eastAsia="仿宋_GB2312" w:cs="Times New Roman"/>
                <w:szCs w:val="21"/>
                <w:lang w:val="en-US" w:eastAsia="zh-CN"/>
              </w:rPr>
              <w:t>各项金额的计算</w:t>
            </w:r>
            <w:r>
              <w:rPr>
                <w:rFonts w:ascii="Times New Roman" w:hAnsi="Times New Roman" w:eastAsia="仿宋_GB2312" w:cs="Times New Roman"/>
                <w:szCs w:val="21"/>
              </w:rPr>
              <w:t>无涂改现象。</w:t>
            </w:r>
          </w:p>
        </w:tc>
      </w:tr>
      <w:tr>
        <w:tblPrEx>
          <w:tblCellMar>
            <w:top w:w="0" w:type="dxa"/>
            <w:left w:w="108" w:type="dxa"/>
            <w:bottom w:w="0" w:type="dxa"/>
            <w:right w:w="108" w:type="dxa"/>
          </w:tblCellMar>
        </w:tblPrEx>
        <w:trPr>
          <w:trHeight w:val="540" w:hRule="atLeast"/>
        </w:trPr>
        <w:tc>
          <w:tcPr>
            <w:tcW w:w="640"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szCs w:val="21"/>
                <w:lang w:val="en-US" w:eastAsia="zh-CN"/>
              </w:rPr>
            </w:pPr>
          </w:p>
        </w:tc>
        <w:tc>
          <w:tcPr>
            <w:tcW w:w="666"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营业收入明细表</w:t>
            </w:r>
            <w:r>
              <w:rPr>
                <w:rFonts w:hint="eastAsia" w:ascii="Times New Roman" w:hAnsi="Times New Roman" w:eastAsia="仿宋_GB2312" w:cs="Times New Roman"/>
                <w:szCs w:val="21"/>
              </w:rPr>
              <w:t>的编制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要求</w:t>
            </w:r>
            <w:r>
              <w:rPr>
                <w:rFonts w:hint="eastAsia" w:ascii="Times New Roman" w:hAnsi="Times New Roman" w:eastAsia="仿宋_GB2312" w:cs="Times New Roman"/>
                <w:szCs w:val="21"/>
                <w:lang w:val="en-US" w:eastAsia="zh-CN"/>
              </w:rPr>
              <w:t>正确填写营业收入明细表的</w:t>
            </w:r>
            <w:r>
              <w:rPr>
                <w:rFonts w:ascii="Times New Roman" w:hAnsi="Times New Roman" w:eastAsia="仿宋_GB2312" w:cs="Times New Roman"/>
                <w:szCs w:val="21"/>
              </w:rPr>
              <w:t>基本要素填写齐全、正确，</w:t>
            </w:r>
            <w:r>
              <w:rPr>
                <w:rFonts w:hint="eastAsia" w:ascii="Times New Roman" w:hAnsi="Times New Roman" w:eastAsia="仿宋_GB2312" w:cs="Times New Roman"/>
                <w:szCs w:val="21"/>
                <w:lang w:val="en-US" w:eastAsia="zh-CN"/>
              </w:rPr>
              <w:t>各项金额的计算</w:t>
            </w:r>
            <w:r>
              <w:rPr>
                <w:rFonts w:ascii="Times New Roman" w:hAnsi="Times New Roman" w:eastAsia="仿宋_GB2312" w:cs="Times New Roman"/>
                <w:szCs w:val="21"/>
              </w:rPr>
              <w:t>无涂改现象。</w:t>
            </w:r>
          </w:p>
        </w:tc>
      </w:tr>
      <w:tr>
        <w:tblPrEx>
          <w:tblCellMar>
            <w:top w:w="0" w:type="dxa"/>
            <w:left w:w="108" w:type="dxa"/>
            <w:bottom w:w="0" w:type="dxa"/>
            <w:right w:w="108" w:type="dxa"/>
          </w:tblCellMar>
        </w:tblPrEx>
        <w:trPr>
          <w:trHeight w:val="540" w:hRule="atLeast"/>
        </w:trPr>
        <w:tc>
          <w:tcPr>
            <w:tcW w:w="640"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szCs w:val="21"/>
                <w:lang w:val="en-US" w:eastAsia="zh-CN"/>
              </w:rPr>
            </w:pPr>
          </w:p>
        </w:tc>
        <w:tc>
          <w:tcPr>
            <w:tcW w:w="666"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成本计算单的填制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要求</w:t>
            </w:r>
            <w:r>
              <w:rPr>
                <w:rFonts w:hint="eastAsia" w:ascii="Times New Roman" w:hAnsi="Times New Roman" w:eastAsia="仿宋_GB2312" w:cs="Times New Roman"/>
                <w:szCs w:val="21"/>
                <w:lang w:val="en-US" w:eastAsia="zh-CN"/>
              </w:rPr>
              <w:t>正确填写成本计算单的金额，</w:t>
            </w:r>
            <w:r>
              <w:rPr>
                <w:rFonts w:ascii="Times New Roman" w:hAnsi="Times New Roman" w:eastAsia="仿宋_GB2312" w:cs="Times New Roman"/>
                <w:szCs w:val="21"/>
              </w:rPr>
              <w:t>无涂改现象。</w:t>
            </w:r>
          </w:p>
        </w:tc>
      </w:tr>
      <w:tr>
        <w:tblPrEx>
          <w:tblCellMar>
            <w:top w:w="0" w:type="dxa"/>
            <w:left w:w="108" w:type="dxa"/>
            <w:bottom w:w="0" w:type="dxa"/>
            <w:right w:w="108" w:type="dxa"/>
          </w:tblCellMar>
        </w:tblPrEx>
        <w:trPr>
          <w:trHeight w:val="540" w:hRule="atLeast"/>
        </w:trPr>
        <w:tc>
          <w:tcPr>
            <w:tcW w:w="640"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szCs w:val="21"/>
                <w:lang w:val="en-US" w:eastAsia="zh-CN"/>
              </w:rPr>
            </w:pPr>
          </w:p>
        </w:tc>
        <w:tc>
          <w:tcPr>
            <w:tcW w:w="666"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szCs w:val="21"/>
                <w:lang w:val="en-US" w:eastAsia="zh-CN"/>
              </w:rPr>
              <w:t>费用明细表的填制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szCs w:val="21"/>
              </w:rPr>
              <w:t>要求</w:t>
            </w:r>
            <w:r>
              <w:rPr>
                <w:rFonts w:hint="eastAsia" w:ascii="Times New Roman" w:hAnsi="Times New Roman" w:eastAsia="仿宋_GB2312" w:cs="Times New Roman"/>
                <w:szCs w:val="21"/>
                <w:lang w:val="en-US" w:eastAsia="zh-CN"/>
              </w:rPr>
              <w:t>正确填写费用明细表的</w:t>
            </w:r>
            <w:r>
              <w:rPr>
                <w:rFonts w:ascii="Times New Roman" w:hAnsi="Times New Roman" w:eastAsia="仿宋_GB2312" w:cs="Times New Roman"/>
                <w:szCs w:val="21"/>
              </w:rPr>
              <w:t>基本要素填写齐全、正确，</w:t>
            </w:r>
            <w:r>
              <w:rPr>
                <w:rFonts w:hint="eastAsia" w:ascii="Times New Roman" w:hAnsi="Times New Roman" w:eastAsia="仿宋_GB2312" w:cs="Times New Roman"/>
                <w:szCs w:val="21"/>
                <w:lang w:val="en-US" w:eastAsia="zh-CN"/>
              </w:rPr>
              <w:t>各项金额的计算</w:t>
            </w:r>
            <w:r>
              <w:rPr>
                <w:rFonts w:ascii="Times New Roman" w:hAnsi="Times New Roman" w:eastAsia="仿宋_GB2312" w:cs="Times New Roman"/>
                <w:szCs w:val="21"/>
              </w:rPr>
              <w:t>无涂改现象。</w:t>
            </w:r>
          </w:p>
        </w:tc>
      </w:tr>
      <w:tr>
        <w:tblPrEx>
          <w:tblCellMar>
            <w:top w:w="0" w:type="dxa"/>
            <w:left w:w="108" w:type="dxa"/>
            <w:bottom w:w="0" w:type="dxa"/>
            <w:right w:w="108" w:type="dxa"/>
          </w:tblCellMar>
        </w:tblPrEx>
        <w:trPr>
          <w:trHeight w:val="540" w:hRule="atLeast"/>
        </w:trPr>
        <w:tc>
          <w:tcPr>
            <w:tcW w:w="640"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Cs w:val="21"/>
                <w:lang w:val="en-US" w:eastAsia="zh-CN"/>
              </w:rPr>
            </w:pP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5分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审计</w:t>
            </w:r>
            <w:r>
              <w:rPr>
                <w:rFonts w:hint="eastAsia" w:ascii="Times New Roman" w:hAnsi="Times New Roman" w:eastAsia="仿宋_GB2312" w:cs="Times New Roman"/>
                <w:szCs w:val="21"/>
              </w:rPr>
              <w:t>基本</w:t>
            </w:r>
            <w:r>
              <w:rPr>
                <w:rFonts w:hint="eastAsia" w:ascii="Times New Roman" w:hAnsi="Times New Roman" w:eastAsia="仿宋_GB2312" w:cs="Times New Roman"/>
                <w:szCs w:val="21"/>
                <w:lang w:val="en-US" w:eastAsia="zh-CN"/>
              </w:rPr>
              <w:t>方法运用（</w:t>
            </w:r>
            <w:r>
              <w:rPr>
                <w:rFonts w:hint="eastAsia" w:ascii="Times New Roman" w:hAnsi="Times New Roman" w:eastAsia="仿宋_GB2312" w:cs="Times New Roman"/>
                <w:szCs w:val="21"/>
                <w:lang w:val="en-US" w:eastAsia="zh-CN"/>
              </w:rPr>
              <w:t>客观题）</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hint="eastAsia" w:ascii="Times New Roman" w:hAnsi="Times New Roman" w:eastAsia="仿宋_GB2312" w:cs="Times New Roman"/>
                <w:szCs w:val="21"/>
              </w:rPr>
              <w:t>根据给出的审计案例，回答审计人员选择了哪些审计方法，这些审计方法能取得哪些审计证据，实现哪些审计目标。</w:t>
            </w:r>
          </w:p>
        </w:tc>
      </w:tr>
      <w:tr>
        <w:tblPrEx>
          <w:tblCellMar>
            <w:top w:w="0" w:type="dxa"/>
            <w:left w:w="108" w:type="dxa"/>
            <w:bottom w:w="0" w:type="dxa"/>
            <w:right w:w="108" w:type="dxa"/>
          </w:tblCellMar>
        </w:tblPrEx>
        <w:trPr>
          <w:trHeight w:val="540" w:hRule="atLeast"/>
        </w:trPr>
        <w:tc>
          <w:tcPr>
            <w:tcW w:w="640"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审计报告</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15分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w:t>
            </w:r>
            <w:r>
              <w:rPr>
                <w:rFonts w:hint="eastAsia" w:ascii="Times New Roman" w:hAnsi="Times New Roman" w:eastAsia="仿宋_GB2312" w:cs="Times New Roman"/>
                <w:szCs w:val="21"/>
              </w:rPr>
              <w:t>个案例题</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审计报告意见发表正确得15分</w:t>
            </w:r>
          </w:p>
        </w:tc>
      </w:tr>
    </w:tbl>
    <w:p>
      <w:pPr>
        <w:spacing w:line="510" w:lineRule="exact"/>
        <w:ind w:firstLine="554" w:firstLineChars="198"/>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总评成绩</w:t>
      </w:r>
      <w:r>
        <w:rPr>
          <w:rFonts w:hint="eastAsia" w:ascii="Times New Roman" w:hAnsi="Times New Roman" w:eastAsia="仿宋_GB2312" w:cs="Times New Roman"/>
          <w:color w:val="000000" w:themeColor="text1"/>
          <w:sz w:val="28"/>
          <w14:textFill>
            <w14:solidFill>
              <w14:schemeClr w14:val="tx1"/>
            </w14:solidFill>
          </w14:textFill>
        </w:rPr>
        <w:t>采用</w:t>
      </w:r>
      <w:r>
        <w:rPr>
          <w:rFonts w:ascii="Times New Roman" w:hAnsi="Times New Roman" w:eastAsia="仿宋_GB2312" w:cs="Times New Roman"/>
          <w:color w:val="000000" w:themeColor="text1"/>
          <w:sz w:val="28"/>
          <w14:textFill>
            <w14:solidFill>
              <w14:schemeClr w14:val="tx1"/>
            </w14:solidFill>
          </w14:textFill>
        </w:rPr>
        <w:t>100</w:t>
      </w:r>
      <w:r>
        <w:rPr>
          <w:rFonts w:hint="eastAsia" w:ascii="Times New Roman" w:hAnsi="Times New Roman" w:eastAsia="仿宋_GB2312" w:cs="Times New Roman"/>
          <w:color w:val="000000" w:themeColor="text1"/>
          <w:sz w:val="28"/>
          <w14:textFill>
            <w14:solidFill>
              <w14:schemeClr w14:val="tx1"/>
            </w14:solidFill>
          </w14:textFill>
        </w:rPr>
        <w:t>制，实际得分是三个模块分别</w:t>
      </w:r>
      <w:r>
        <w:rPr>
          <w:rFonts w:ascii="Times New Roman" w:hAnsi="Times New Roman" w:eastAsia="仿宋_GB2312" w:cs="Times New Roman"/>
          <w:color w:val="000000" w:themeColor="text1"/>
          <w:sz w:val="28"/>
          <w14:textFill>
            <w14:solidFill>
              <w14:schemeClr w14:val="tx1"/>
            </w14:solidFill>
          </w14:textFill>
        </w:rPr>
        <w:t>得分之和</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技能考核总成绩60分及以上评定为合格</w:t>
      </w:r>
      <w:r>
        <w:rPr>
          <w:rFonts w:hint="eastAsia" w:ascii="Times New Roman" w:hAnsi="Times New Roman" w:eastAsia="仿宋_GB2312" w:cs="Times New Roman"/>
          <w:color w:val="000000" w:themeColor="text1"/>
          <w:sz w:val="28"/>
          <w14:textFill>
            <w14:solidFill>
              <w14:schemeClr w14:val="tx1"/>
            </w14:solidFill>
          </w14:textFill>
        </w:rPr>
        <w:t>，85分以上为优秀。</w:t>
      </w:r>
    </w:p>
    <w:p>
      <w:pPr>
        <w:autoSpaceDE w:val="0"/>
        <w:autoSpaceDN w:val="0"/>
        <w:adjustRightInd w:val="0"/>
        <w:ind w:firstLine="560" w:firstLineChars="200"/>
        <w:jc w:val="left"/>
        <w:rPr>
          <w:rFonts w:ascii="黑体" w:eastAsia="黑体" w:cs="黑体"/>
          <w:kern w:val="0"/>
          <w:sz w:val="28"/>
          <w:szCs w:val="28"/>
        </w:rPr>
      </w:pPr>
      <w:r>
        <w:rPr>
          <w:rFonts w:hint="eastAsia" w:ascii="黑体" w:eastAsia="黑体" w:cs="黑体"/>
          <w:kern w:val="0"/>
          <w:sz w:val="28"/>
          <w:szCs w:val="28"/>
        </w:rPr>
        <w:t>五、抽考方式</w:t>
      </w:r>
    </w:p>
    <w:p>
      <w:pPr>
        <w:autoSpaceDE w:val="0"/>
        <w:autoSpaceDN w:val="0"/>
        <w:adjustRightInd w:val="0"/>
        <w:ind w:firstLine="560" w:firstLineChars="200"/>
        <w:jc w:val="left"/>
        <w:rPr>
          <w:rFonts w:ascii="Times New Roman" w:hAnsi="Times New Roman" w:eastAsia="仿宋_GB2312" w:cs="Times New Roman"/>
          <w:sz w:val="28"/>
        </w:rPr>
      </w:pPr>
      <w:r>
        <w:rPr>
          <w:rFonts w:hint="eastAsia" w:ascii="Times New Roman" w:hAnsi="Times New Roman" w:eastAsia="仿宋_GB2312" w:cs="Times New Roman"/>
          <w:sz w:val="28"/>
        </w:rPr>
        <w:t>1.参考人数：按各校各专业总人数的10%确定，如抽查专业人数不足100人，则抽取学生10人；如抽查专业学生不足10人，则全部参加；如抽查专业学生超过300人，则抽取学生30人，学生按应考人数1：1.1的比例随机抽选。</w:t>
      </w:r>
    </w:p>
    <w:p>
      <w:pPr>
        <w:autoSpaceDE w:val="0"/>
        <w:autoSpaceDN w:val="0"/>
        <w:adjustRightInd w:val="0"/>
        <w:ind w:firstLine="560" w:firstLineChars="200"/>
        <w:jc w:val="left"/>
        <w:rPr>
          <w:rFonts w:hint="eastAsia" w:ascii="Times New Roman" w:hAnsi="Times New Roman" w:eastAsia="仿宋_GB2312" w:cs="Times New Roman"/>
          <w:sz w:val="28"/>
        </w:rPr>
      </w:pPr>
      <w:r>
        <w:rPr>
          <w:rFonts w:hint="eastAsia" w:ascii="Times New Roman" w:hAnsi="Times New Roman" w:eastAsia="仿宋_GB2312" w:cs="Times New Roman"/>
          <w:sz w:val="28"/>
        </w:rPr>
        <w:t>2.考试模块：</w:t>
      </w:r>
      <w:r>
        <w:rPr>
          <w:rFonts w:ascii="Times New Roman" w:hAnsi="Times New Roman" w:eastAsia="仿宋_GB2312" w:cs="Times New Roman"/>
          <w:sz w:val="28"/>
        </w:rPr>
        <w:t>参考学生参加专业基本能力</w:t>
      </w:r>
      <w:r>
        <w:rPr>
          <w:rFonts w:hint="eastAsia" w:ascii="Times New Roman" w:hAnsi="Times New Roman" w:eastAsia="仿宋_GB2312" w:cs="Times New Roman"/>
          <w:sz w:val="28"/>
        </w:rPr>
        <w:t>、</w:t>
      </w:r>
      <w:r>
        <w:rPr>
          <w:rFonts w:ascii="Times New Roman" w:hAnsi="Times New Roman" w:eastAsia="仿宋_GB2312" w:cs="Times New Roman"/>
          <w:sz w:val="28"/>
        </w:rPr>
        <w:t>岗位核心能力</w:t>
      </w:r>
      <w:r>
        <w:rPr>
          <w:rFonts w:hint="eastAsia" w:ascii="Times New Roman" w:hAnsi="Times New Roman" w:eastAsia="仿宋_GB2312" w:cs="Times New Roman"/>
          <w:sz w:val="28"/>
        </w:rPr>
        <w:t>及一个岗位拓展能力模块内容。岗位拓展能力模块由各学校根据实际情况自行选择一个模块中的一个项目进行考试。</w:t>
      </w:r>
    </w:p>
    <w:p>
      <w:pPr>
        <w:autoSpaceDE w:val="0"/>
        <w:autoSpaceDN w:val="0"/>
        <w:adjustRightInd w:val="0"/>
        <w:ind w:firstLine="560" w:firstLineChars="200"/>
        <w:jc w:val="left"/>
        <w:rPr>
          <w:rFonts w:hint="eastAsia" w:ascii="Times New Roman" w:hAnsi="Times New Roman" w:eastAsia="仿宋_GB2312" w:cs="Times New Roman"/>
          <w:sz w:val="28"/>
        </w:rPr>
      </w:pPr>
      <w:r>
        <w:rPr>
          <w:rFonts w:hint="eastAsia" w:ascii="Times New Roman" w:hAnsi="Times New Roman" w:eastAsia="仿宋_GB2312" w:cs="Times New Roman"/>
          <w:sz w:val="28"/>
        </w:rPr>
        <w:t>3.考试题目：由题库系统中按要求随机组卷形成。题库网址：</w:t>
      </w:r>
      <w:r>
        <w:rPr>
          <w:rFonts w:hint="eastAsia" w:ascii="Times New Roman" w:hAnsi="Times New Roman" w:eastAsia="仿宋_GB2312" w:cs="Times New Roman"/>
          <w:sz w:val="28"/>
          <w:lang w:val="en-US" w:eastAsia="zh-CN"/>
        </w:rPr>
        <w:fldChar w:fldCharType="begin"/>
      </w:r>
      <w:r>
        <w:rPr>
          <w:rFonts w:hint="eastAsia" w:ascii="Times New Roman" w:hAnsi="Times New Roman" w:eastAsia="仿宋_GB2312" w:cs="Times New Roman"/>
          <w:sz w:val="28"/>
          <w:lang w:val="en-US" w:eastAsia="zh-CN"/>
        </w:rPr>
        <w:instrText xml:space="preserve"> HYPERLINK "http://jncc.chinazdap.com" </w:instrText>
      </w:r>
      <w:r>
        <w:rPr>
          <w:rFonts w:hint="eastAsia" w:ascii="Times New Roman" w:hAnsi="Times New Roman" w:eastAsia="仿宋_GB2312" w:cs="Times New Roman"/>
          <w:sz w:val="28"/>
          <w:lang w:val="en-US" w:eastAsia="zh-CN"/>
        </w:rPr>
        <w:fldChar w:fldCharType="separate"/>
      </w:r>
      <w:r>
        <w:rPr>
          <w:rStyle w:val="7"/>
          <w:rFonts w:hint="eastAsia" w:ascii="Times New Roman" w:hAnsi="Times New Roman" w:eastAsia="仿宋_GB2312" w:cs="Times New Roman"/>
          <w:sz w:val="28"/>
          <w:lang w:val="en-US" w:eastAsia="zh-CN"/>
        </w:rPr>
        <w:t>http://jncc.chinazdap.com</w:t>
      </w:r>
      <w:r>
        <w:rPr>
          <w:rFonts w:hint="eastAsia" w:ascii="Times New Roman" w:hAnsi="Times New Roman" w:eastAsia="仿宋_GB2312" w:cs="Times New Roman"/>
          <w:sz w:val="28"/>
          <w:lang w:val="en-US" w:eastAsia="zh-CN"/>
        </w:rPr>
        <w:fldChar w:fldCharType="end"/>
      </w:r>
      <w:r>
        <w:rPr>
          <w:rFonts w:hint="eastAsia" w:ascii="Times New Roman" w:hAnsi="Times New Roman" w:eastAsia="仿宋_GB2312" w:cs="Times New Roman"/>
          <w:sz w:val="28"/>
          <w:lang w:val="en-US" w:eastAsia="zh-CN"/>
        </w:rPr>
        <w:t xml:space="preserve"> ；</w:t>
      </w:r>
      <w:bookmarkStart w:id="0" w:name="_GoBack"/>
      <w:bookmarkEnd w:id="0"/>
      <w:r>
        <w:rPr>
          <w:rFonts w:hint="eastAsia" w:ascii="Times New Roman" w:hAnsi="Times New Roman" w:eastAsia="仿宋_GB2312" w:cs="Times New Roman"/>
          <w:sz w:val="28"/>
        </w:rPr>
        <w:t>试用账号：学生：YSSX6666、教师：YSSX8888、教务：YSSX9999  密码统一：123456。</w:t>
      </w:r>
    </w:p>
    <w:p>
      <w:pPr>
        <w:autoSpaceDE w:val="0"/>
        <w:autoSpaceDN w:val="0"/>
        <w:adjustRightInd w:val="0"/>
        <w:ind w:firstLine="560" w:firstLineChars="200"/>
        <w:jc w:val="left"/>
        <w:rPr>
          <w:rFonts w:ascii="黑体" w:eastAsia="黑体" w:cs="黑体"/>
          <w:kern w:val="0"/>
          <w:sz w:val="28"/>
          <w:szCs w:val="28"/>
        </w:rPr>
      </w:pPr>
      <w:r>
        <w:rPr>
          <w:rFonts w:hint="eastAsia" w:ascii="黑体" w:eastAsia="黑体" w:cs="黑体"/>
          <w:kern w:val="0"/>
          <w:sz w:val="28"/>
          <w:szCs w:val="28"/>
        </w:rPr>
        <w:t>六、附录</w:t>
      </w:r>
    </w:p>
    <w:p>
      <w:pPr>
        <w:spacing w:line="440" w:lineRule="exact"/>
        <w:ind w:firstLine="554" w:firstLineChars="198"/>
        <w:rPr>
          <w:rFonts w:ascii="Times New Roman" w:hAnsi="Times New Roman" w:eastAsia="仿宋_GB2312" w:cs="Times New Roman"/>
          <w:sz w:val="28"/>
        </w:rPr>
      </w:pPr>
      <w:r>
        <w:rPr>
          <w:rFonts w:ascii="Times New Roman" w:hAnsi="Times New Roman" w:eastAsia="仿宋_GB2312" w:cs="Times New Roman"/>
          <w:sz w:val="28"/>
        </w:rPr>
        <w:t>1.《中华人民共和国会计法》、《中华人民共和国票据法》；</w:t>
      </w:r>
    </w:p>
    <w:p>
      <w:pPr>
        <w:spacing w:line="440" w:lineRule="exact"/>
        <w:ind w:firstLine="554" w:firstLineChars="198"/>
        <w:rPr>
          <w:rFonts w:ascii="Times New Roman" w:hAnsi="Times New Roman" w:eastAsia="仿宋_GB2312" w:cs="Times New Roman"/>
          <w:sz w:val="28"/>
        </w:rPr>
      </w:pPr>
      <w:r>
        <w:rPr>
          <w:rFonts w:ascii="Times New Roman" w:hAnsi="Times New Roman" w:eastAsia="仿宋_GB2312" w:cs="Times New Roman"/>
          <w:sz w:val="28"/>
        </w:rPr>
        <w:t>2.财政部颁布的</w:t>
      </w:r>
      <w:r>
        <w:rPr>
          <w:rFonts w:hint="eastAsia" w:ascii="Times New Roman" w:hAnsi="Times New Roman" w:eastAsia="仿宋_GB2312" w:cs="Times New Roman"/>
          <w:sz w:val="28"/>
          <w:lang w:eastAsia="zh-CN"/>
        </w:rPr>
        <w:t>《</w:t>
      </w:r>
      <w:r>
        <w:rPr>
          <w:rFonts w:hint="eastAsia" w:ascii="Times New Roman" w:hAnsi="Times New Roman" w:eastAsia="仿宋_GB2312" w:cs="Times New Roman"/>
          <w:sz w:val="28"/>
          <w:lang w:val="en-US" w:eastAsia="zh-CN"/>
        </w:rPr>
        <w:t>审计准则 》、</w:t>
      </w:r>
      <w:r>
        <w:rPr>
          <w:rFonts w:ascii="Times New Roman" w:hAnsi="Times New Roman" w:eastAsia="仿宋_GB2312" w:cs="Times New Roman"/>
          <w:sz w:val="28"/>
        </w:rPr>
        <w:t>《企业会计准则》及其《应用指南》；</w:t>
      </w:r>
    </w:p>
    <w:p>
      <w:pPr>
        <w:spacing w:line="440" w:lineRule="exact"/>
        <w:ind w:firstLine="554" w:firstLineChars="198"/>
        <w:rPr>
          <w:rFonts w:ascii="Times New Roman" w:hAnsi="Times New Roman" w:eastAsia="仿宋_GB2312" w:cs="Times New Roman"/>
          <w:sz w:val="28"/>
        </w:rPr>
      </w:pPr>
      <w:r>
        <w:rPr>
          <w:rFonts w:ascii="Times New Roman" w:hAnsi="Times New Roman" w:eastAsia="仿宋_GB2312" w:cs="Times New Roman"/>
          <w:sz w:val="28"/>
        </w:rPr>
        <w:t>3.财政部颁布的《会计基础工作规范》、《会计电算化管理办法》等有关会计核算法律法规；</w:t>
      </w:r>
    </w:p>
    <w:p>
      <w:pPr>
        <w:spacing w:line="440" w:lineRule="exact"/>
        <w:ind w:firstLine="554" w:firstLineChars="198"/>
        <w:rPr>
          <w:rFonts w:ascii="Times New Roman" w:hAnsi="Times New Roman" w:eastAsia="仿宋_GB2312" w:cs="Times New Roman"/>
          <w:sz w:val="28"/>
        </w:rPr>
      </w:pPr>
      <w:r>
        <w:rPr>
          <w:rFonts w:ascii="Times New Roman" w:hAnsi="Times New Roman" w:eastAsia="仿宋_GB2312" w:cs="Times New Roman"/>
          <w:sz w:val="28"/>
        </w:rPr>
        <w:t>4.《中华人民共和国增值税暂行条例》、《中华人民共和国企业所得税法》、《中华人民共和国城市维护建设税暂行条例》等有关税收法律法规的最新修订版；</w:t>
      </w:r>
    </w:p>
    <w:p>
      <w:pPr>
        <w:spacing w:line="440" w:lineRule="exact"/>
        <w:ind w:firstLine="554" w:firstLineChars="198"/>
        <w:rPr>
          <w:rFonts w:ascii="Times New Roman" w:hAnsi="Times New Roman" w:eastAsia="仿宋_GB2312" w:cs="Times New Roman"/>
          <w:sz w:val="28"/>
        </w:rPr>
      </w:pPr>
      <w:r>
        <w:rPr>
          <w:rFonts w:ascii="Times New Roman" w:hAnsi="Times New Roman" w:eastAsia="仿宋_GB2312" w:cs="Times New Roman"/>
          <w:sz w:val="28"/>
        </w:rPr>
        <w:t>5.国家税务总局颁布的《中华人民共和国发票管理办法实施细则》；</w:t>
      </w:r>
    </w:p>
    <w:p>
      <w:pPr>
        <w:spacing w:line="440" w:lineRule="exact"/>
        <w:ind w:firstLine="554" w:firstLineChars="198"/>
        <w:rPr>
          <w:rFonts w:ascii="Times New Roman" w:hAnsi="Times New Roman" w:eastAsia="仿宋_GB2312" w:cs="Times New Roman"/>
          <w:sz w:val="28"/>
        </w:rPr>
      </w:pPr>
      <w:r>
        <w:rPr>
          <w:rFonts w:ascii="Times New Roman" w:hAnsi="Times New Roman" w:eastAsia="仿宋_GB2312" w:cs="Times New Roman"/>
          <w:sz w:val="28"/>
        </w:rPr>
        <w:t>6.中国人民银行颁布的《支付结算办法》和《正确填写票据和结算凭证的基本规定》。</w:t>
      </w:r>
    </w:p>
    <w:p>
      <w:pPr>
        <w:spacing w:line="440" w:lineRule="exact"/>
        <w:ind w:firstLine="554" w:firstLineChars="198"/>
        <w:rPr>
          <w:rFonts w:ascii="Times New Roman" w:hAnsi="Times New Roman" w:eastAsia="仿宋_GB2312" w:cs="Times New Roman"/>
          <w:sz w:val="28"/>
        </w:rPr>
      </w:pPr>
      <w:r>
        <w:rPr>
          <w:rFonts w:ascii="Times New Roman" w:hAnsi="Times New Roman" w:eastAsia="仿宋_GB2312" w:cs="Times New Roman"/>
          <w:sz w:val="28"/>
        </w:rPr>
        <w:t>7.财政部颁布的《管理会计基本指引》。</w:t>
      </w:r>
    </w:p>
    <w:p>
      <w:pPr>
        <w:widowControl/>
        <w:jc w:val="left"/>
        <w:rPr>
          <w:rFonts w:ascii="TimesNewRomanPSMT" w:eastAsia="TimesNewRomanPSMT" w:cs="TimesNewRomanPSMT"/>
          <w:kern w:val="0"/>
          <w:sz w:val="32"/>
          <w:szCs w:val="32"/>
        </w:rPr>
      </w:pPr>
    </w:p>
    <w:p>
      <w:pPr>
        <w:widowControl/>
        <w:jc w:val="left"/>
        <w:rPr>
          <w:rFonts w:ascii="TimesNewRomanPSMT" w:eastAsia="TimesNewRomanPSMT" w:cs="TimesNewRomanPSMT"/>
          <w:kern w:val="0"/>
          <w:sz w:val="32"/>
          <w:szCs w:val="32"/>
        </w:rPr>
      </w:pPr>
    </w:p>
    <w:p>
      <w:pPr>
        <w:widowControl/>
        <w:jc w:val="left"/>
        <w:rPr>
          <w:rFonts w:ascii="TimesNewRomanPSMT" w:eastAsia="TimesNewRomanPSMT" w:cs="TimesNewRomanPSMT"/>
          <w:kern w:val="0"/>
          <w:sz w:val="32"/>
          <w:szCs w:val="32"/>
        </w:rPr>
      </w:pPr>
    </w:p>
    <w:p>
      <w:pPr>
        <w:widowControl/>
        <w:jc w:val="left"/>
        <w:rPr>
          <w:rFonts w:ascii="TimesNewRomanPSMT" w:eastAsia="TimesNewRomanPSMT" w:cs="TimesNewRomanPSMT"/>
          <w:kern w:val="0"/>
          <w:sz w:val="32"/>
          <w:szCs w:val="32"/>
        </w:rPr>
      </w:pPr>
    </w:p>
    <w:p>
      <w:pPr>
        <w:autoSpaceDE w:val="0"/>
        <w:autoSpaceDN w:val="0"/>
        <w:adjustRightInd w:val="0"/>
        <w:jc w:val="left"/>
        <w:rPr>
          <w:rFonts w:ascii="黑体" w:eastAsia="黑体" w:cs="黑体"/>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12EFB8"/>
    <w:multiLevelType w:val="singleLevel"/>
    <w:tmpl w:val="CF12EFB8"/>
    <w:lvl w:ilvl="0" w:tentative="0">
      <w:start w:val="1"/>
      <w:numFmt w:val="decimal"/>
      <w:suff w:val="nothing"/>
      <w:lvlText w:val="（%1）"/>
      <w:lvlJc w:val="left"/>
    </w:lvl>
  </w:abstractNum>
  <w:abstractNum w:abstractNumId="1">
    <w:nsid w:val="DB49A717"/>
    <w:multiLevelType w:val="singleLevel"/>
    <w:tmpl w:val="DB49A717"/>
    <w:lvl w:ilvl="0" w:tentative="0">
      <w:start w:val="4"/>
      <w:numFmt w:val="chineseCounting"/>
      <w:suff w:val="nothing"/>
      <w:lvlText w:val="%1、"/>
      <w:lvlJc w:val="left"/>
      <w:rPr>
        <w:rFonts w:hint="eastAsia"/>
      </w:rPr>
    </w:lvl>
  </w:abstractNum>
  <w:abstractNum w:abstractNumId="2">
    <w:nsid w:val="24A13AD9"/>
    <w:multiLevelType w:val="singleLevel"/>
    <w:tmpl w:val="24A13AD9"/>
    <w:lvl w:ilvl="0" w:tentative="0">
      <w:start w:val="3"/>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369"/>
    <w:rsid w:val="003B3C50"/>
    <w:rsid w:val="004374DF"/>
    <w:rsid w:val="00513889"/>
    <w:rsid w:val="005239BE"/>
    <w:rsid w:val="00695369"/>
    <w:rsid w:val="008114F6"/>
    <w:rsid w:val="00B833CA"/>
    <w:rsid w:val="00BF3172"/>
    <w:rsid w:val="00DE6A38"/>
    <w:rsid w:val="00E778B9"/>
    <w:rsid w:val="07E03590"/>
    <w:rsid w:val="0B234434"/>
    <w:rsid w:val="0EA459B1"/>
    <w:rsid w:val="16655BA4"/>
    <w:rsid w:val="16BA45FF"/>
    <w:rsid w:val="1BFF3472"/>
    <w:rsid w:val="1C1967A9"/>
    <w:rsid w:val="1CEA6554"/>
    <w:rsid w:val="1D8E3977"/>
    <w:rsid w:val="1F5B303E"/>
    <w:rsid w:val="23091629"/>
    <w:rsid w:val="252F742B"/>
    <w:rsid w:val="267F1908"/>
    <w:rsid w:val="2DA5646E"/>
    <w:rsid w:val="35A542AB"/>
    <w:rsid w:val="38326EA5"/>
    <w:rsid w:val="38783C42"/>
    <w:rsid w:val="38846320"/>
    <w:rsid w:val="3A4A183F"/>
    <w:rsid w:val="3AC81BB5"/>
    <w:rsid w:val="3B6933EC"/>
    <w:rsid w:val="3F615503"/>
    <w:rsid w:val="42C4699C"/>
    <w:rsid w:val="4325374E"/>
    <w:rsid w:val="457C1F4D"/>
    <w:rsid w:val="476A444D"/>
    <w:rsid w:val="47F8040F"/>
    <w:rsid w:val="48CD5B33"/>
    <w:rsid w:val="4AB358AB"/>
    <w:rsid w:val="4B201053"/>
    <w:rsid w:val="4E6C06F7"/>
    <w:rsid w:val="4EC21A03"/>
    <w:rsid w:val="503165DB"/>
    <w:rsid w:val="51AC277A"/>
    <w:rsid w:val="52D27AB5"/>
    <w:rsid w:val="52F35733"/>
    <w:rsid w:val="56602786"/>
    <w:rsid w:val="569B4EF1"/>
    <w:rsid w:val="591B2F0B"/>
    <w:rsid w:val="64D355DF"/>
    <w:rsid w:val="64D6358D"/>
    <w:rsid w:val="6503761F"/>
    <w:rsid w:val="6E355D71"/>
    <w:rsid w:val="6E990245"/>
    <w:rsid w:val="71BF5FA2"/>
    <w:rsid w:val="72BE4475"/>
    <w:rsid w:val="73D034C5"/>
    <w:rsid w:val="76AB35B4"/>
    <w:rsid w:val="779E35CC"/>
    <w:rsid w:val="78FA059F"/>
    <w:rsid w:val="7A6F0D28"/>
    <w:rsid w:val="7B6A49C5"/>
    <w:rsid w:val="7CC315BE"/>
    <w:rsid w:val="7D1C4DEE"/>
    <w:rsid w:val="7E3722FA"/>
    <w:rsid w:val="7E951E96"/>
    <w:rsid w:val="7F856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Hyperlink"/>
    <w:basedOn w:val="6"/>
    <w:unhideWhenUsed/>
    <w:qFormat/>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1538</Words>
  <Characters>8769</Characters>
  <Lines>73</Lines>
  <Paragraphs>20</Paragraphs>
  <TotalTime>8</TotalTime>
  <ScaleCrop>false</ScaleCrop>
  <LinksUpToDate>false</LinksUpToDate>
  <CharactersWithSpaces>10287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2019-06-25T07:43:00Z</dcterms:created>
  <dc:creator>Windows 用户</dc:creator>
  <cp:lastModifiedBy>徐铭阳</cp:lastModifiedBy>
  <dcterms:modified xsi:type="dcterms:W3CDTF">2020-07-22T07:54:04Z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